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融发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集团及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天祥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公司常年法律顾问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律所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（一）拟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聘律所应符合国家相关部门规定的法律事务执业要求，具备《律师事务所执业许可证》，且律所及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所内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律师近三年（2020年1月1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以来）无信用不良记录，未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受过司法行政部门的行政处罚或者协会的行业处分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（须提供律所营业执照、职业资格证、司法行政部门或行业协会</w:t>
      </w:r>
      <w:r>
        <w:rPr>
          <w:rFonts w:hint="eastAsia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出具</w:t>
      </w: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的无不良信用记录证明）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聘律所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近三年内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（20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年1月1日以来）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的财务状况良好。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（须提供近三年财务审计报表）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近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年内（20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年1月1日以来），律所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有委派律师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团队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为中大型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国有企业提供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常年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法律服务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（须提供1个</w:t>
      </w:r>
      <w:r>
        <w:rPr>
          <w:rFonts w:hint="eastAsia" w:ascii="Times New Roman" w:hAnsi="Times New Roman" w:eastAsia="楷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及</w:t>
      </w:r>
      <w:r>
        <w:rPr>
          <w:rFonts w:hint="default" w:ascii="Times New Roman" w:hAnsi="Times New Roman" w:eastAsia="楷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以上</w:t>
      </w: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中大型国有企业常年</w:t>
      </w:r>
      <w:r>
        <w:rPr>
          <w:rFonts w:hint="default" w:ascii="Times New Roman" w:hAnsi="Times New Roman" w:eastAsia="楷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法律服务合同）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、律师团队要求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拟派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主办律师及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服务团队律师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政治立场坚定、大局意识强、精通法律、恪守诚信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、廉洁，能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积极响应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公司法律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工作要求和需求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，接受公司的服务考核。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（须提供律师团队诚信廉洁承诺书）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拟派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主办律师及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服务团队律师均具有法律执业资格证A证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Hans"/>
        </w:rPr>
        <w:t>或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律师执业资格证，均具备三年及以上法律工作经验，且主办律师有丰富的诉讼经验。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（须提供主办律师及团队律师的执行资格证、人员名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团队律师不少于三名，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近三年内（2020年1月1日以来），有代理过股权投资、项目开发、工程建设、房地产交易、资产租赁、资产并购、合资合作、土地使用、运营发展、政府采购、担保、借款、劳务等法律事务服务经验。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（须提供三份以上</w:t>
      </w:r>
      <w:r>
        <w:rPr>
          <w:rFonts w:hint="eastAsia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房地产开发或房地产纠纷</w:t>
      </w: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诉讼代理服务合同）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、服务方式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常年法律顾问服务主要采取“线上咨询为主、现场坐班为辅、应急即叫即到”的方式。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（一）线上咨询要求。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线上咨询范围包括但不限于合同及法律文件审查、出具法律咨询意见书、法律问题解答等，文件资料应通过指定邮箱收发，如特别紧急可通过电话、微信沟通。原则上应在收到咨询任务后2日内提供法律咨询（审查）意见，法律咨询（审查）意见须盖律所公章，合同审查表须盖主办律师署名业务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  <w:lang w:val="en-US" w:eastAsia="zh-CN"/>
        </w:rPr>
        <w:t>现场坐班要求。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1、坐班律师要求：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（1）现场坐班律师至少1名，须持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有法律执业资格证A证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Hans"/>
        </w:rPr>
        <w:t>或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律师执业资格证，具备三年及以上法律工作经验，熟悉公司的主营业务，具备与公司主营业务匹配的职业资格或工作经验优先，如具备工程类的建造师、造价师，财务类的会计师等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Hans"/>
        </w:rPr>
        <w:t>更佳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（2）坐班律师须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认真负责，政治立场坚定、大局意识强、精通法律、恪守诚信、廉洁，服从公司的安排，配合完成公司安排的任务，参加公司相关会议，并做好相关记录；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（3）坐班律师须细致履职，谨慎审查合同及相关法律事务的潜在风险，站在最大程度维护公司利益的角度提出解决方案，在尽量规避风险的前提下实现经济目的；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（4）坐班律师须有较强的沟通意识，能及时完成临时交办的任务，具备一定程度的抗压能力。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2、坐班考核要求：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（1）根据公司业务需求及工作量，坐班原则上不少于每周一天，在公司指定地点进行坐班服务，公司应提供坐班律师必要的办公条件、就餐。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（2）坐班律师坐班时间同公司上下班时间，并按公司考勤制度予以考勤打卡，如遇公司案件需外出无法参与打卡的，应当进行说明并有管理人签字确认，非公司相关案件原则上不允许坐班律师擅自外出。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（3）坐班律师按周报、月报等方式记录完成工作情况，值班情况，完成工作情况等纳入考核范围，考核情况影响服务费用的最终结算。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应急即叫即到要求：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公司遇紧急事务处理，须临时召集法律顾问进行现场对接或参加会议，律师团体应无条件安排律师在规定的时间内到场，原则上要求主办律师出席，如主办律师无法参加，可由坐班律师参加。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目前，公司所需法律服务内容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主要包括风控体系建设、法律咨询、合同及法律文件审查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、诉讼代理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，各公司可根据自身主营业务确定具体服务内容。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（一）风控体系建设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协助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完善合同风险防控体系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，参与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合同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管理制度的修订及完善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协助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完善投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资风险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财务管理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防控体系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，参与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资业务管理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财务管理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制度的修改完善；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3、协助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完善工程建设领域风险防控体系建设，参与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项目管理制度的修订及完善。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4、协助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完善其他风险防控体系建设，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健全有关法律文书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法律纠纷诉讼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的管理制度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（二）法律咨询服务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要求、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土地开发、项目招采、项目建设、对外投资、资产运营、地产租售、借款担保等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日常经营管理事务涉及的法律问题提供法律分析建议或意见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协助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加强经营管理中重大决策、商务谈判等法律风险控制，就重大事项进行专题法律论证，出具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专门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法律意见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提供与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经营活动有关的法律信息、法律培训与指导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每年不少于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次专题培训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，使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的活动沿着法制的轨道合法有序地进行；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分析现行法律、法规及政策对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之利弊，加强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对国家政策、法律发展形势的了解，尽量避免决策的随意性和盲目性，确保管理决策的科学性和可行性；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准时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参加或列席有关会议，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并及时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提出法律意见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（三）合同及法律文件审查服务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1、负责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起草、修改、审查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业务活动及经营管理中所需的法律文件、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来往函件、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合同协议及其它法律文书和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内部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规章制度、公司章程、招标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采购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文件等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要求，签发律师函，发布公告、声明，参加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法律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纠纷调解、协商、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约谈，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以非诉讼方式协助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维护合法权益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诉讼代理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涉及公司诉讼案件，如委托法律顾问单位进行诉讼代理，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诉讼标的在100万元（含100万元）以下的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简单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案件或法律纠纷代理诉讼，包括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调解、冲裁、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一审、二审、执行阶段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，按最高5000元/件收取诉讼代理费。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诉讼标的在100万元以上的，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诉讼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代理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在标准计费的基础上应不低于三折优惠。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针对疑难复杂类案件，诉讼代理费由集团与子公司结合具体情况确定预算价格。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（五）其他事务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应公司要求，办理专项尽职调查、房屋按揭、物业租赁、产权登记等手续，费用另行协商。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、服务考核及费用支付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常年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法律顾问服务采取按月考核，按季付费的方式进行，每月由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集团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招采合约部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、经办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部门/子公司对法律顾问服务单位进行考核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打分，每季度按每月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考核计算平均分，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评定考核等级，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结算支付季度服务费。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其中，综合评分90分（含）以上的为合格，85（含）-90分扣罚服务费1000元，80（含）-85分扣罚服务费2000元，80分以下不予支付服务费。如连续两个季度考核不合格，公司有权解除服务合同。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1C173"/>
    <w:multiLevelType w:val="singleLevel"/>
    <w:tmpl w:val="8441C17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8771C57"/>
    <w:multiLevelType w:val="singleLevel"/>
    <w:tmpl w:val="A8771C5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00000000"/>
    <w:rsid w:val="03B44BDF"/>
    <w:rsid w:val="056C557C"/>
    <w:rsid w:val="0EFC448D"/>
    <w:rsid w:val="0F906EF1"/>
    <w:rsid w:val="234C210E"/>
    <w:rsid w:val="3BBA3F5C"/>
    <w:rsid w:val="42B9096C"/>
    <w:rsid w:val="4E2D698F"/>
    <w:rsid w:val="4E901DDF"/>
    <w:rsid w:val="58B02697"/>
    <w:rsid w:val="59331C79"/>
    <w:rsid w:val="5BB34D60"/>
    <w:rsid w:val="5C860579"/>
    <w:rsid w:val="5FEE7E4A"/>
    <w:rsid w:val="65336DF7"/>
    <w:rsid w:val="65435A24"/>
    <w:rsid w:val="6FE42B27"/>
    <w:rsid w:val="70144C21"/>
    <w:rsid w:val="72FB2B0F"/>
    <w:rsid w:val="7D551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2504</Words>
  <Characters>2539</Characters>
  <Lines>0</Lines>
  <Paragraphs>0</Paragraphs>
  <TotalTime>29</TotalTime>
  <ScaleCrop>false</ScaleCrop>
  <LinksUpToDate>false</LinksUpToDate>
  <CharactersWithSpaces>2546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2023-07-20T10:17:00Z</dcterms:created>
  <dc:creator>lenovo</dc:creator>
  <cp:lastModifiedBy>林国平</cp:lastModifiedBy>
  <dcterms:modified xsi:type="dcterms:W3CDTF">2023-08-02T05:51:35Z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91CCEC29416E4CDAAEC290EC74F8B15B_13</vt:lpwstr>
  </property>
</Properties>
</file>