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C7ECD8">
      <w:pPr>
        <w:pStyle w:val="16"/>
        <w:adjustRightInd w:val="0"/>
        <w:snapToGrid w:val="0"/>
        <w:spacing w:before="0" w:beforeAutospacing="0" w:after="0" w:afterAutospacing="0" w:line="360" w:lineRule="auto"/>
        <w:ind w:left="846" w:leftChars="403" w:firstLine="156" w:firstLineChars="49"/>
        <w:jc w:val="both"/>
        <w:rPr>
          <w:rFonts w:hint="eastAsia" w:ascii="宋体" w:hAnsi="宋体" w:eastAsia="宋体" w:cs="宋体"/>
          <w:color w:val="auto"/>
          <w:spacing w:val="0"/>
          <w:sz w:val="32"/>
          <w:szCs w:val="32"/>
          <w:highlight w:val="none"/>
        </w:rPr>
      </w:pPr>
    </w:p>
    <w:p w14:paraId="0B468FC7">
      <w:pPr>
        <w:pStyle w:val="16"/>
        <w:adjustRightInd w:val="0"/>
        <w:snapToGrid w:val="0"/>
        <w:spacing w:before="0" w:beforeAutospacing="0" w:after="0" w:afterAutospacing="0" w:line="360" w:lineRule="auto"/>
        <w:ind w:left="846" w:leftChars="403" w:firstLine="156" w:firstLineChars="49"/>
        <w:jc w:val="both"/>
        <w:rPr>
          <w:rFonts w:hint="eastAsia" w:ascii="宋体" w:hAnsi="宋体" w:eastAsia="宋体" w:cs="宋体"/>
          <w:color w:val="auto"/>
          <w:spacing w:val="0"/>
          <w:sz w:val="32"/>
          <w:szCs w:val="32"/>
          <w:highlight w:val="none"/>
        </w:rPr>
      </w:pPr>
    </w:p>
    <w:p w14:paraId="53C556DC">
      <w:pPr>
        <w:pStyle w:val="16"/>
        <w:adjustRightInd w:val="0"/>
        <w:snapToGrid w:val="0"/>
        <w:spacing w:before="0" w:beforeAutospacing="0" w:after="0" w:afterAutospacing="0" w:line="360" w:lineRule="auto"/>
        <w:ind w:left="846" w:leftChars="403" w:firstLine="156" w:firstLineChars="49"/>
        <w:jc w:val="both"/>
        <w:rPr>
          <w:rFonts w:hint="eastAsia" w:ascii="宋体" w:hAnsi="宋体" w:eastAsia="宋体" w:cs="宋体"/>
          <w:color w:val="auto"/>
          <w:spacing w:val="0"/>
          <w:sz w:val="32"/>
          <w:szCs w:val="32"/>
          <w:highlight w:val="none"/>
        </w:rPr>
      </w:pPr>
    </w:p>
    <w:p w14:paraId="58E8AA5B">
      <w:pPr>
        <w:pStyle w:val="16"/>
        <w:adjustRightInd w:val="0"/>
        <w:snapToGrid w:val="0"/>
        <w:spacing w:before="0" w:beforeAutospacing="0" w:after="0" w:afterAutospacing="0" w:line="360" w:lineRule="auto"/>
        <w:ind w:left="846" w:leftChars="403" w:firstLine="156" w:firstLineChars="49"/>
        <w:jc w:val="both"/>
        <w:rPr>
          <w:rFonts w:hint="eastAsia" w:ascii="宋体" w:hAnsi="宋体" w:eastAsia="宋体" w:cs="宋体"/>
          <w:color w:val="auto"/>
          <w:spacing w:val="0"/>
          <w:sz w:val="32"/>
          <w:szCs w:val="32"/>
          <w:highlight w:val="none"/>
        </w:rPr>
      </w:pPr>
    </w:p>
    <w:p w14:paraId="0D546122">
      <w:pPr>
        <w:pStyle w:val="16"/>
        <w:adjustRightInd w:val="0"/>
        <w:snapToGrid w:val="0"/>
        <w:spacing w:before="0" w:beforeAutospacing="0" w:after="0" w:afterAutospacing="0" w:line="360" w:lineRule="auto"/>
        <w:jc w:val="center"/>
        <w:outlineLvl w:val="0"/>
        <w:rPr>
          <w:rFonts w:hint="eastAsia" w:ascii="宋体" w:hAnsi="宋体" w:eastAsia="宋体" w:cs="宋体"/>
          <w:color w:val="auto"/>
          <w:spacing w:val="0"/>
          <w:kern w:val="2"/>
          <w:sz w:val="56"/>
          <w:szCs w:val="56"/>
          <w:highlight w:val="none"/>
          <w:u w:val="none"/>
          <w:lang w:eastAsia="zh-CN"/>
        </w:rPr>
      </w:pPr>
      <w:r>
        <w:rPr>
          <w:rFonts w:hint="eastAsia" w:ascii="宋体" w:hAnsi="宋体" w:eastAsia="宋体" w:cs="宋体"/>
          <w:color w:val="auto"/>
          <w:spacing w:val="0"/>
          <w:kern w:val="2"/>
          <w:sz w:val="56"/>
          <w:szCs w:val="56"/>
          <w:highlight w:val="none"/>
          <w:u w:val="none"/>
          <w:lang w:eastAsia="zh-CN"/>
        </w:rPr>
        <w:t>湖南大数据交易所储能、充电桩项目运营服务</w:t>
      </w:r>
      <w:r>
        <w:rPr>
          <w:rFonts w:hint="eastAsia" w:ascii="宋体" w:hAnsi="宋体" w:eastAsia="宋体" w:cs="宋体"/>
          <w:color w:val="auto"/>
          <w:spacing w:val="0"/>
          <w:kern w:val="2"/>
          <w:sz w:val="56"/>
          <w:szCs w:val="56"/>
          <w:highlight w:val="none"/>
          <w:u w:val="none"/>
          <w:lang w:val="en-US" w:eastAsia="zh-CN"/>
        </w:rPr>
        <w:t>商</w:t>
      </w:r>
    </w:p>
    <w:p w14:paraId="6F177B2F">
      <w:pPr>
        <w:pStyle w:val="16"/>
        <w:adjustRightInd w:val="0"/>
        <w:snapToGrid w:val="0"/>
        <w:spacing w:before="0" w:beforeAutospacing="0" w:after="0" w:afterAutospacing="0" w:line="360" w:lineRule="auto"/>
        <w:ind w:left="846" w:leftChars="403" w:firstLine="156" w:firstLineChars="49"/>
        <w:jc w:val="both"/>
        <w:rPr>
          <w:rFonts w:hint="eastAsia" w:ascii="宋体" w:hAnsi="宋体" w:eastAsia="宋体" w:cs="宋体"/>
          <w:color w:val="auto"/>
          <w:spacing w:val="0"/>
          <w:sz w:val="32"/>
          <w:szCs w:val="32"/>
          <w:highlight w:val="none"/>
        </w:rPr>
      </w:pPr>
    </w:p>
    <w:p w14:paraId="1C347C06">
      <w:pPr>
        <w:pStyle w:val="16"/>
        <w:adjustRightInd w:val="0"/>
        <w:snapToGrid w:val="0"/>
        <w:spacing w:before="0" w:beforeAutospacing="0" w:after="0" w:afterAutospacing="0" w:line="360" w:lineRule="auto"/>
        <w:ind w:left="846" w:leftChars="403" w:firstLine="156" w:firstLineChars="49"/>
        <w:jc w:val="both"/>
        <w:rPr>
          <w:rFonts w:hint="eastAsia" w:ascii="宋体" w:hAnsi="宋体" w:eastAsia="宋体" w:cs="宋体"/>
          <w:color w:val="auto"/>
          <w:spacing w:val="0"/>
          <w:sz w:val="32"/>
          <w:szCs w:val="32"/>
          <w:highlight w:val="none"/>
        </w:rPr>
      </w:pPr>
    </w:p>
    <w:p w14:paraId="753AD1A8">
      <w:pPr>
        <w:pStyle w:val="16"/>
        <w:adjustRightInd w:val="0"/>
        <w:snapToGrid w:val="0"/>
        <w:spacing w:before="0" w:beforeAutospacing="0" w:after="0" w:afterAutospacing="0" w:line="360" w:lineRule="auto"/>
        <w:ind w:left="846" w:leftChars="403" w:firstLine="156" w:firstLineChars="49"/>
        <w:jc w:val="both"/>
        <w:rPr>
          <w:rFonts w:hint="eastAsia" w:ascii="宋体" w:hAnsi="宋体" w:eastAsia="宋体" w:cs="宋体"/>
          <w:color w:val="auto"/>
          <w:spacing w:val="0"/>
          <w:sz w:val="32"/>
          <w:szCs w:val="32"/>
          <w:highlight w:val="none"/>
        </w:rPr>
      </w:pPr>
    </w:p>
    <w:p w14:paraId="26C45277">
      <w:pPr>
        <w:pStyle w:val="16"/>
        <w:adjustRightInd w:val="0"/>
        <w:snapToGrid w:val="0"/>
        <w:spacing w:before="0" w:beforeAutospacing="0" w:after="0" w:afterAutospacing="0" w:line="360" w:lineRule="auto"/>
        <w:ind w:left="846" w:leftChars="403" w:firstLine="156" w:firstLineChars="49"/>
        <w:jc w:val="both"/>
        <w:rPr>
          <w:rFonts w:hint="eastAsia" w:ascii="宋体" w:hAnsi="宋体" w:eastAsia="宋体" w:cs="宋体"/>
          <w:color w:val="auto"/>
          <w:spacing w:val="0"/>
          <w:sz w:val="32"/>
          <w:szCs w:val="32"/>
          <w:highlight w:val="none"/>
        </w:rPr>
      </w:pPr>
    </w:p>
    <w:p w14:paraId="444406CE">
      <w:pPr>
        <w:pStyle w:val="16"/>
        <w:adjustRightInd w:val="0"/>
        <w:snapToGrid w:val="0"/>
        <w:spacing w:before="0" w:beforeAutospacing="0" w:after="0" w:afterAutospacing="0" w:line="360" w:lineRule="auto"/>
        <w:jc w:val="center"/>
        <w:rPr>
          <w:rFonts w:hint="eastAsia" w:ascii="宋体" w:hAnsi="宋体" w:eastAsia="宋体" w:cs="宋体"/>
          <w:b/>
          <w:color w:val="auto"/>
          <w:spacing w:val="0"/>
          <w:sz w:val="56"/>
          <w:szCs w:val="72"/>
          <w:highlight w:val="none"/>
        </w:rPr>
      </w:pPr>
      <w:r>
        <w:rPr>
          <w:rFonts w:hint="eastAsia" w:ascii="宋体" w:hAnsi="宋体" w:eastAsia="宋体" w:cs="宋体"/>
          <w:b/>
          <w:color w:val="auto"/>
          <w:spacing w:val="0"/>
          <w:kern w:val="2"/>
          <w:sz w:val="56"/>
          <w:szCs w:val="72"/>
          <w:highlight w:val="none"/>
          <w:lang w:val="en-US" w:eastAsia="zh-CN"/>
        </w:rPr>
        <w:t xml:space="preserve">公 开 招 募 </w:t>
      </w:r>
      <w:r>
        <w:rPr>
          <w:rFonts w:hint="eastAsia" w:ascii="宋体" w:hAnsi="宋体" w:eastAsia="宋体" w:cs="宋体"/>
          <w:b/>
          <w:color w:val="auto"/>
          <w:spacing w:val="0"/>
          <w:kern w:val="2"/>
          <w:sz w:val="56"/>
          <w:szCs w:val="72"/>
          <w:highlight w:val="none"/>
        </w:rPr>
        <w:t>比 选 文 件</w:t>
      </w:r>
    </w:p>
    <w:p w14:paraId="3EF01B99">
      <w:pPr>
        <w:pStyle w:val="16"/>
        <w:adjustRightInd w:val="0"/>
        <w:snapToGrid w:val="0"/>
        <w:spacing w:before="0" w:beforeAutospacing="0" w:after="0" w:afterAutospacing="0" w:line="360" w:lineRule="auto"/>
        <w:ind w:left="846" w:leftChars="403" w:firstLine="156" w:firstLineChars="49"/>
        <w:jc w:val="both"/>
        <w:rPr>
          <w:rFonts w:hint="eastAsia" w:ascii="宋体" w:hAnsi="宋体" w:eastAsia="宋体" w:cs="宋体"/>
          <w:color w:val="auto"/>
          <w:spacing w:val="0"/>
          <w:sz w:val="32"/>
          <w:szCs w:val="32"/>
          <w:highlight w:val="none"/>
        </w:rPr>
      </w:pPr>
    </w:p>
    <w:p w14:paraId="1702BDBC">
      <w:pPr>
        <w:pStyle w:val="16"/>
        <w:adjustRightInd w:val="0"/>
        <w:snapToGrid w:val="0"/>
        <w:spacing w:before="0" w:beforeAutospacing="0" w:after="0" w:afterAutospacing="0" w:line="360" w:lineRule="auto"/>
        <w:ind w:left="846" w:leftChars="403" w:firstLine="156" w:firstLineChars="49"/>
        <w:jc w:val="both"/>
        <w:rPr>
          <w:rFonts w:hint="eastAsia" w:ascii="宋体" w:hAnsi="宋体" w:eastAsia="宋体" w:cs="宋体"/>
          <w:color w:val="auto"/>
          <w:spacing w:val="0"/>
          <w:sz w:val="32"/>
          <w:szCs w:val="32"/>
          <w:highlight w:val="none"/>
        </w:rPr>
      </w:pPr>
    </w:p>
    <w:p w14:paraId="19E331DA">
      <w:pPr>
        <w:pStyle w:val="16"/>
        <w:adjustRightInd w:val="0"/>
        <w:snapToGrid w:val="0"/>
        <w:spacing w:before="0" w:beforeAutospacing="0" w:after="0" w:afterAutospacing="0" w:line="360" w:lineRule="auto"/>
        <w:ind w:left="846" w:leftChars="403" w:firstLine="156" w:firstLineChars="49"/>
        <w:jc w:val="both"/>
        <w:rPr>
          <w:rFonts w:hint="eastAsia" w:ascii="宋体" w:hAnsi="宋体" w:eastAsia="宋体" w:cs="宋体"/>
          <w:color w:val="auto"/>
          <w:spacing w:val="0"/>
          <w:sz w:val="32"/>
          <w:szCs w:val="32"/>
          <w:highlight w:val="none"/>
        </w:rPr>
      </w:pPr>
    </w:p>
    <w:p w14:paraId="0328FD67">
      <w:pPr>
        <w:pStyle w:val="16"/>
        <w:adjustRightInd w:val="0"/>
        <w:snapToGrid w:val="0"/>
        <w:spacing w:before="0" w:beforeAutospacing="0" w:after="0" w:afterAutospacing="0" w:line="360" w:lineRule="auto"/>
        <w:ind w:left="846" w:leftChars="403" w:firstLine="156" w:firstLineChars="49"/>
        <w:jc w:val="both"/>
        <w:rPr>
          <w:rFonts w:hint="eastAsia" w:ascii="宋体" w:hAnsi="宋体" w:eastAsia="宋体" w:cs="宋体"/>
          <w:color w:val="auto"/>
          <w:spacing w:val="0"/>
          <w:sz w:val="32"/>
          <w:szCs w:val="32"/>
          <w:highlight w:val="none"/>
        </w:rPr>
      </w:pPr>
    </w:p>
    <w:p w14:paraId="267D0DB2">
      <w:pPr>
        <w:spacing w:line="360" w:lineRule="auto"/>
        <w:ind w:firstLine="1960" w:firstLineChars="700"/>
        <w:jc w:val="left"/>
        <w:rPr>
          <w:rFonts w:hint="eastAsia" w:ascii="宋体" w:hAnsi="宋体" w:eastAsia="宋体" w:cs="宋体"/>
          <w:color w:val="auto"/>
          <w:sz w:val="28"/>
          <w:szCs w:val="36"/>
          <w:highlight w:val="none"/>
          <w:u w:val="single"/>
          <w:lang w:eastAsia="zh-CN"/>
        </w:rPr>
      </w:pPr>
      <w:r>
        <w:rPr>
          <w:rFonts w:hint="eastAsia" w:ascii="宋体" w:hAnsi="宋体" w:eastAsia="宋体" w:cs="宋体"/>
          <w:color w:val="auto"/>
          <w:sz w:val="28"/>
          <w:szCs w:val="36"/>
          <w:highlight w:val="none"/>
          <w:lang w:eastAsia="zh-CN"/>
        </w:rPr>
        <w:t>招募人</w:t>
      </w:r>
      <w:r>
        <w:rPr>
          <w:rFonts w:hint="eastAsia" w:ascii="宋体" w:hAnsi="宋体" w:eastAsia="宋体" w:cs="宋体"/>
          <w:color w:val="auto"/>
          <w:sz w:val="28"/>
          <w:szCs w:val="36"/>
          <w:highlight w:val="none"/>
        </w:rPr>
        <w:t>：</w:t>
      </w:r>
      <w:r>
        <w:rPr>
          <w:rFonts w:hint="eastAsia" w:ascii="宋体" w:hAnsi="宋体" w:eastAsia="宋体" w:cs="宋体"/>
          <w:color w:val="auto"/>
          <w:sz w:val="28"/>
          <w:szCs w:val="36"/>
          <w:highlight w:val="none"/>
          <w:u w:val="single"/>
          <w:lang w:eastAsia="zh-CN"/>
        </w:rPr>
        <w:t>长沙融城经济发展集团有限公司</w:t>
      </w:r>
    </w:p>
    <w:p w14:paraId="63424B9C">
      <w:pPr>
        <w:spacing w:line="360" w:lineRule="auto"/>
        <w:ind w:firstLine="1960" w:firstLineChars="700"/>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招募代理机构</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36"/>
          <w:highlight w:val="none"/>
          <w:u w:val="single"/>
          <w:lang w:eastAsia="zh-CN"/>
        </w:rPr>
        <w:t>中慧力祥项目管理有限公司</w:t>
      </w:r>
    </w:p>
    <w:p w14:paraId="2CF6452F">
      <w:pPr>
        <w:spacing w:line="360" w:lineRule="auto"/>
        <w:ind w:firstLine="1960" w:firstLineChars="700"/>
        <w:jc w:val="left"/>
        <w:rPr>
          <w:rFonts w:hint="eastAsia" w:ascii="宋体" w:hAnsi="宋体" w:eastAsia="宋体" w:cs="宋体"/>
          <w:color w:val="auto"/>
          <w:sz w:val="28"/>
          <w:szCs w:val="36"/>
          <w:highlight w:val="none"/>
        </w:rPr>
      </w:pPr>
      <w:r>
        <w:rPr>
          <w:rFonts w:hint="eastAsia" w:ascii="宋体" w:hAnsi="宋体" w:eastAsia="宋体" w:cs="宋体"/>
          <w:color w:val="auto"/>
          <w:sz w:val="28"/>
          <w:szCs w:val="36"/>
          <w:highlight w:val="none"/>
        </w:rPr>
        <w:t>日  期：</w:t>
      </w:r>
      <w:r>
        <w:rPr>
          <w:rFonts w:hint="eastAsia" w:ascii="宋体" w:hAnsi="宋体" w:eastAsia="宋体" w:cs="宋体"/>
          <w:color w:val="auto"/>
          <w:sz w:val="28"/>
          <w:szCs w:val="36"/>
          <w:highlight w:val="none"/>
          <w:u w:val="single"/>
          <w:lang w:val="en-US" w:eastAsia="zh-CN"/>
        </w:rPr>
        <w:t>2025</w:t>
      </w:r>
      <w:r>
        <w:rPr>
          <w:rFonts w:hint="eastAsia" w:ascii="宋体" w:hAnsi="宋体" w:eastAsia="宋体" w:cs="宋体"/>
          <w:color w:val="auto"/>
          <w:sz w:val="28"/>
          <w:szCs w:val="36"/>
          <w:highlight w:val="none"/>
        </w:rPr>
        <w:t>年</w:t>
      </w:r>
      <w:r>
        <w:rPr>
          <w:rFonts w:hint="eastAsia" w:ascii="宋体" w:hAnsi="宋体" w:eastAsia="宋体" w:cs="宋体"/>
          <w:color w:val="auto"/>
          <w:sz w:val="28"/>
          <w:szCs w:val="36"/>
          <w:highlight w:val="none"/>
          <w:u w:val="single"/>
          <w:lang w:val="en-US" w:eastAsia="zh-CN"/>
        </w:rPr>
        <w:t xml:space="preserve"> 11 </w:t>
      </w:r>
      <w:r>
        <w:rPr>
          <w:rFonts w:hint="eastAsia" w:ascii="宋体" w:hAnsi="宋体" w:eastAsia="宋体" w:cs="宋体"/>
          <w:color w:val="auto"/>
          <w:sz w:val="28"/>
          <w:szCs w:val="36"/>
          <w:highlight w:val="none"/>
        </w:rPr>
        <w:t>月</w:t>
      </w:r>
      <w:r>
        <w:rPr>
          <w:rFonts w:hint="eastAsia" w:ascii="宋体" w:hAnsi="宋体" w:eastAsia="宋体" w:cs="宋体"/>
          <w:color w:val="auto"/>
          <w:sz w:val="28"/>
          <w:szCs w:val="36"/>
          <w:highlight w:val="none"/>
          <w:u w:val="single"/>
          <w:lang w:val="en-US" w:eastAsia="zh-CN"/>
        </w:rPr>
        <w:t xml:space="preserve"> 3 </w:t>
      </w:r>
      <w:r>
        <w:rPr>
          <w:rFonts w:hint="eastAsia" w:ascii="宋体" w:hAnsi="宋体" w:eastAsia="宋体" w:cs="宋体"/>
          <w:color w:val="auto"/>
          <w:sz w:val="28"/>
          <w:szCs w:val="36"/>
          <w:highlight w:val="none"/>
        </w:rPr>
        <w:t>日</w:t>
      </w:r>
    </w:p>
    <w:p w14:paraId="4DB64616">
      <w:pPr>
        <w:jc w:val="center"/>
        <w:rPr>
          <w:rFonts w:hint="eastAsia" w:ascii="宋体" w:hAnsi="宋体" w:eastAsia="宋体" w:cs="宋体"/>
          <w:b/>
          <w:color w:val="auto"/>
          <w:sz w:val="32"/>
          <w:szCs w:val="32"/>
          <w:highlight w:val="none"/>
        </w:rPr>
        <w:sectPr>
          <w:pgSz w:w="11906" w:h="16838"/>
          <w:pgMar w:top="1417" w:right="1417" w:bottom="1417" w:left="1417" w:header="850" w:footer="850" w:gutter="0"/>
          <w:cols w:space="0" w:num="1"/>
          <w:rtlGutter w:val="0"/>
          <w:docGrid w:type="linesAndChars" w:linePitch="318" w:charSpace="0"/>
        </w:sectPr>
      </w:pPr>
    </w:p>
    <w:p w14:paraId="216AE659">
      <w:pPr>
        <w:jc w:val="center"/>
        <w:rPr>
          <w:rFonts w:hint="eastAsia" w:ascii="宋体" w:hAnsi="宋体" w:eastAsia="宋体" w:cs="宋体"/>
          <w:color w:val="auto"/>
          <w:spacing w:val="0"/>
          <w:sz w:val="28"/>
          <w:szCs w:val="28"/>
          <w:highlight w:val="none"/>
        </w:rPr>
      </w:pPr>
      <w:r>
        <w:rPr>
          <w:rFonts w:hint="eastAsia" w:ascii="宋体" w:hAnsi="宋体" w:eastAsia="宋体" w:cs="宋体"/>
          <w:b/>
          <w:color w:val="auto"/>
          <w:sz w:val="32"/>
          <w:szCs w:val="32"/>
          <w:highlight w:val="none"/>
        </w:rPr>
        <w:t>目 录</w:t>
      </w:r>
      <w:r>
        <w:rPr>
          <w:rFonts w:hint="eastAsia" w:ascii="宋体" w:hAnsi="宋体" w:eastAsia="宋体" w:cs="宋体"/>
          <w:color w:val="auto"/>
          <w:spacing w:val="0"/>
          <w:sz w:val="28"/>
          <w:szCs w:val="28"/>
          <w:highlight w:val="none"/>
        </w:rPr>
        <w:fldChar w:fldCharType="begin"/>
      </w:r>
      <w:r>
        <w:rPr>
          <w:rFonts w:hint="eastAsia" w:ascii="宋体" w:hAnsi="宋体" w:eastAsia="宋体" w:cs="宋体"/>
          <w:color w:val="auto"/>
          <w:spacing w:val="0"/>
          <w:sz w:val="28"/>
          <w:szCs w:val="28"/>
          <w:highlight w:val="none"/>
        </w:rPr>
        <w:instrText xml:space="preserve">TOC \o "1-1" \h \u </w:instrText>
      </w:r>
      <w:r>
        <w:rPr>
          <w:rFonts w:hint="eastAsia" w:ascii="宋体" w:hAnsi="宋体" w:eastAsia="宋体" w:cs="宋体"/>
          <w:color w:val="auto"/>
          <w:spacing w:val="0"/>
          <w:sz w:val="28"/>
          <w:szCs w:val="28"/>
          <w:highlight w:val="none"/>
        </w:rPr>
        <w:fldChar w:fldCharType="separate"/>
      </w:r>
    </w:p>
    <w:p w14:paraId="2F00479C">
      <w:pPr>
        <w:spacing w:before="0" w:after="0" w:line="240" w:lineRule="auto"/>
        <w:ind w:left="0" w:leftChars="0" w:right="0" w:rightChars="0" w:firstLine="0" w:firstLineChars="0"/>
        <w:jc w:val="center"/>
        <w:rPr>
          <w:rFonts w:hint="eastAsia" w:ascii="宋体" w:hAnsi="宋体" w:eastAsia="宋体" w:cs="宋体"/>
          <w:color w:val="auto"/>
          <w:highlight w:val="none"/>
        </w:rPr>
      </w:pPr>
    </w:p>
    <w:p w14:paraId="7BEA55A7">
      <w:pPr>
        <w:pStyle w:val="27"/>
        <w:tabs>
          <w:tab w:val="right" w:leader="dot" w:pos="8312"/>
        </w:tabs>
        <w:rPr>
          <w:rFonts w:hint="eastAsia" w:ascii="宋体" w:hAnsi="宋体" w:eastAsia="宋体" w:cs="宋体"/>
          <w:color w:val="auto"/>
          <w:sz w:val="28"/>
          <w:szCs w:val="28"/>
          <w:highlight w:val="none"/>
        </w:rPr>
      </w:pPr>
      <w:r>
        <w:rPr>
          <w:rFonts w:hint="eastAsia" w:ascii="宋体" w:hAnsi="宋体" w:eastAsia="宋体" w:cs="宋体"/>
          <w:color w:val="auto"/>
          <w:spacing w:val="0"/>
          <w:sz w:val="28"/>
          <w:szCs w:val="28"/>
          <w:highlight w:val="none"/>
        </w:rPr>
        <w:fldChar w:fldCharType="begin"/>
      </w:r>
      <w:r>
        <w:rPr>
          <w:rFonts w:hint="eastAsia" w:ascii="宋体" w:hAnsi="宋体" w:eastAsia="宋体" w:cs="宋体"/>
          <w:color w:val="auto"/>
          <w:spacing w:val="0"/>
          <w:sz w:val="28"/>
          <w:szCs w:val="28"/>
          <w:highlight w:val="none"/>
        </w:rPr>
        <w:instrText xml:space="preserve">TOC \o "1-1" \h \u </w:instrText>
      </w:r>
      <w:r>
        <w:rPr>
          <w:rFonts w:hint="eastAsia" w:ascii="宋体" w:hAnsi="宋体" w:eastAsia="宋体" w:cs="宋体"/>
          <w:color w:val="auto"/>
          <w:spacing w:val="0"/>
          <w:sz w:val="28"/>
          <w:szCs w:val="28"/>
          <w:highlight w:val="none"/>
        </w:rPr>
        <w:fldChar w:fldCharType="separate"/>
      </w:r>
      <w:r>
        <w:rPr>
          <w:rFonts w:hint="eastAsia" w:ascii="宋体" w:hAnsi="宋体" w:eastAsia="宋体" w:cs="宋体"/>
          <w:color w:val="auto"/>
          <w:spacing w:val="0"/>
          <w:sz w:val="28"/>
          <w:szCs w:val="28"/>
          <w:highlight w:val="none"/>
        </w:rPr>
        <w:fldChar w:fldCharType="begin"/>
      </w:r>
      <w:r>
        <w:rPr>
          <w:rFonts w:hint="eastAsia" w:ascii="宋体" w:hAnsi="宋体" w:eastAsia="宋体" w:cs="宋体"/>
          <w:color w:val="auto"/>
          <w:spacing w:val="0"/>
          <w:sz w:val="28"/>
          <w:szCs w:val="28"/>
          <w:highlight w:val="none"/>
        </w:rPr>
        <w:instrText xml:space="preserve"> HYPERLINK \l _Toc3607 </w:instrText>
      </w:r>
      <w:r>
        <w:rPr>
          <w:rFonts w:hint="eastAsia" w:ascii="宋体" w:hAnsi="宋体" w:eastAsia="宋体" w:cs="宋体"/>
          <w:color w:val="auto"/>
          <w:spacing w:val="0"/>
          <w:sz w:val="28"/>
          <w:szCs w:val="28"/>
          <w:highlight w:val="none"/>
        </w:rPr>
        <w:fldChar w:fldCharType="separate"/>
      </w:r>
      <w:r>
        <w:rPr>
          <w:rFonts w:hint="eastAsia" w:ascii="宋体" w:hAnsi="宋体" w:eastAsia="宋体" w:cs="宋体"/>
          <w:bCs/>
          <w:color w:val="auto"/>
          <w:spacing w:val="0"/>
          <w:kern w:val="28"/>
          <w:sz w:val="28"/>
          <w:szCs w:val="28"/>
          <w:highlight w:val="none"/>
        </w:rPr>
        <w:t xml:space="preserve">第一章 </w:t>
      </w:r>
      <w:r>
        <w:rPr>
          <w:rFonts w:hint="eastAsia" w:ascii="宋体" w:hAnsi="宋体" w:eastAsia="宋体" w:cs="宋体"/>
          <w:bCs/>
          <w:color w:val="auto"/>
          <w:spacing w:val="0"/>
          <w:kern w:val="28"/>
          <w:sz w:val="28"/>
          <w:szCs w:val="28"/>
          <w:highlight w:val="none"/>
          <w:lang w:val="en-US" w:eastAsia="zh-CN"/>
        </w:rPr>
        <w:t>公开招募</w:t>
      </w:r>
      <w:r>
        <w:rPr>
          <w:rFonts w:hint="eastAsia" w:ascii="宋体" w:hAnsi="宋体" w:eastAsia="宋体" w:cs="宋体"/>
          <w:bCs/>
          <w:color w:val="auto"/>
          <w:spacing w:val="0"/>
          <w:kern w:val="28"/>
          <w:sz w:val="28"/>
          <w:szCs w:val="28"/>
          <w:highlight w:val="none"/>
        </w:rPr>
        <w:t>比选</w:t>
      </w:r>
      <w:r>
        <w:rPr>
          <w:rFonts w:hint="eastAsia" w:ascii="宋体" w:hAnsi="宋体" w:eastAsia="宋体" w:cs="宋体"/>
          <w:bCs/>
          <w:color w:val="auto"/>
          <w:spacing w:val="0"/>
          <w:kern w:val="28"/>
          <w:sz w:val="28"/>
          <w:szCs w:val="28"/>
          <w:highlight w:val="none"/>
          <w:lang w:val="en-US" w:eastAsia="zh-CN"/>
        </w:rPr>
        <w:t>公告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_Toc3607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pacing w:val="0"/>
          <w:sz w:val="28"/>
          <w:szCs w:val="28"/>
          <w:highlight w:val="none"/>
        </w:rPr>
        <w:fldChar w:fldCharType="end"/>
      </w:r>
    </w:p>
    <w:p w14:paraId="44104559">
      <w:pPr>
        <w:pStyle w:val="27"/>
        <w:tabs>
          <w:tab w:val="right" w:leader="dot" w:pos="8312"/>
        </w:tabs>
        <w:rPr>
          <w:rFonts w:hint="eastAsia" w:ascii="宋体" w:hAnsi="宋体" w:eastAsia="宋体" w:cs="宋体"/>
          <w:color w:val="auto"/>
          <w:sz w:val="28"/>
          <w:szCs w:val="28"/>
          <w:highlight w:val="none"/>
        </w:rPr>
      </w:pPr>
      <w:r>
        <w:rPr>
          <w:rFonts w:hint="eastAsia" w:ascii="宋体" w:hAnsi="宋体" w:eastAsia="宋体" w:cs="宋体"/>
          <w:color w:val="auto"/>
          <w:spacing w:val="0"/>
          <w:sz w:val="28"/>
          <w:szCs w:val="28"/>
          <w:highlight w:val="none"/>
        </w:rPr>
        <w:fldChar w:fldCharType="begin"/>
      </w:r>
      <w:r>
        <w:rPr>
          <w:rFonts w:hint="eastAsia" w:ascii="宋体" w:hAnsi="宋体" w:eastAsia="宋体" w:cs="宋体"/>
          <w:color w:val="auto"/>
          <w:spacing w:val="0"/>
          <w:sz w:val="28"/>
          <w:szCs w:val="28"/>
          <w:highlight w:val="none"/>
        </w:rPr>
        <w:instrText xml:space="preserve"> HYPERLINK \l _Toc9160 </w:instrText>
      </w:r>
      <w:r>
        <w:rPr>
          <w:rFonts w:hint="eastAsia" w:ascii="宋体" w:hAnsi="宋体" w:eastAsia="宋体" w:cs="宋体"/>
          <w:color w:val="auto"/>
          <w:spacing w:val="0"/>
          <w:sz w:val="28"/>
          <w:szCs w:val="28"/>
          <w:highlight w:val="none"/>
        </w:rPr>
        <w:fldChar w:fldCharType="separate"/>
      </w:r>
      <w:r>
        <w:rPr>
          <w:rFonts w:hint="eastAsia" w:ascii="宋体" w:hAnsi="宋体" w:eastAsia="宋体" w:cs="宋体"/>
          <w:color w:val="auto"/>
          <w:spacing w:val="0"/>
          <w:kern w:val="2"/>
          <w:sz w:val="28"/>
          <w:szCs w:val="28"/>
          <w:highlight w:val="none"/>
        </w:rPr>
        <w:t xml:space="preserve">第二章 </w:t>
      </w:r>
      <w:r>
        <w:rPr>
          <w:rFonts w:hint="eastAsia" w:ascii="宋体" w:hAnsi="宋体" w:eastAsia="宋体" w:cs="宋体"/>
          <w:color w:val="auto"/>
          <w:spacing w:val="0"/>
          <w:kern w:val="2"/>
          <w:sz w:val="28"/>
          <w:szCs w:val="28"/>
          <w:highlight w:val="none"/>
          <w:lang w:eastAsia="zh-CN"/>
        </w:rPr>
        <w:t>投标人</w:t>
      </w:r>
      <w:r>
        <w:rPr>
          <w:rFonts w:hint="eastAsia" w:ascii="宋体" w:hAnsi="宋体" w:eastAsia="宋体" w:cs="宋体"/>
          <w:color w:val="auto"/>
          <w:spacing w:val="0"/>
          <w:kern w:val="2"/>
          <w:sz w:val="28"/>
          <w:szCs w:val="28"/>
          <w:highlight w:val="none"/>
        </w:rPr>
        <w:t>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_Toc9160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pacing w:val="0"/>
          <w:sz w:val="28"/>
          <w:szCs w:val="28"/>
          <w:highlight w:val="none"/>
        </w:rPr>
        <w:fldChar w:fldCharType="end"/>
      </w:r>
    </w:p>
    <w:p w14:paraId="6420A4F2">
      <w:pPr>
        <w:pStyle w:val="27"/>
        <w:tabs>
          <w:tab w:val="right" w:leader="dot" w:pos="8312"/>
        </w:tabs>
        <w:rPr>
          <w:rFonts w:hint="eastAsia" w:ascii="宋体" w:hAnsi="宋体" w:eastAsia="宋体" w:cs="宋体"/>
          <w:color w:val="auto"/>
          <w:sz w:val="28"/>
          <w:szCs w:val="28"/>
          <w:highlight w:val="none"/>
        </w:rPr>
      </w:pPr>
      <w:r>
        <w:rPr>
          <w:rFonts w:hint="eastAsia" w:ascii="宋体" w:hAnsi="宋体" w:eastAsia="宋体" w:cs="宋体"/>
          <w:color w:val="auto"/>
          <w:spacing w:val="0"/>
          <w:sz w:val="28"/>
          <w:szCs w:val="28"/>
          <w:highlight w:val="none"/>
        </w:rPr>
        <w:fldChar w:fldCharType="begin"/>
      </w:r>
      <w:r>
        <w:rPr>
          <w:rFonts w:hint="eastAsia" w:ascii="宋体" w:hAnsi="宋体" w:eastAsia="宋体" w:cs="宋体"/>
          <w:color w:val="auto"/>
          <w:spacing w:val="0"/>
          <w:sz w:val="28"/>
          <w:szCs w:val="28"/>
          <w:highlight w:val="none"/>
        </w:rPr>
        <w:instrText xml:space="preserve"> HYPERLINK \l _Toc19687 </w:instrText>
      </w:r>
      <w:r>
        <w:rPr>
          <w:rFonts w:hint="eastAsia" w:ascii="宋体" w:hAnsi="宋体" w:eastAsia="宋体" w:cs="宋体"/>
          <w:color w:val="auto"/>
          <w:spacing w:val="0"/>
          <w:sz w:val="28"/>
          <w:szCs w:val="28"/>
          <w:highlight w:val="none"/>
        </w:rPr>
        <w:fldChar w:fldCharType="separate"/>
      </w:r>
      <w:r>
        <w:rPr>
          <w:rFonts w:hint="eastAsia" w:ascii="宋体" w:hAnsi="宋体" w:eastAsia="宋体" w:cs="宋体"/>
          <w:color w:val="auto"/>
          <w:sz w:val="28"/>
          <w:szCs w:val="28"/>
          <w:highlight w:val="none"/>
        </w:rPr>
        <w:t>第三章 评审办法及标准</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_Toc19687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11</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pacing w:val="0"/>
          <w:sz w:val="28"/>
          <w:szCs w:val="28"/>
          <w:highlight w:val="none"/>
        </w:rPr>
        <w:fldChar w:fldCharType="end"/>
      </w:r>
    </w:p>
    <w:p w14:paraId="57F7FEFE">
      <w:pPr>
        <w:pStyle w:val="27"/>
        <w:keepNext w:val="0"/>
        <w:keepLines w:val="0"/>
        <w:pageBreakBefore w:val="0"/>
        <w:widowControl/>
        <w:tabs>
          <w:tab w:val="right" w:leader="dot" w:pos="8312"/>
        </w:tabs>
        <w:kinsoku/>
        <w:wordWrap/>
        <w:overflowPunct/>
        <w:topLinePunct w:val="0"/>
        <w:autoSpaceDE/>
        <w:autoSpaceDN/>
        <w:bidi w:val="0"/>
        <w:adjustRightInd/>
        <w:snapToGrid/>
        <w:textAlignment w:val="auto"/>
        <w:rPr>
          <w:rFonts w:hint="eastAsia" w:ascii="宋体" w:hAnsi="宋体" w:eastAsia="宋体" w:cs="宋体"/>
          <w:color w:val="auto"/>
          <w:sz w:val="28"/>
          <w:szCs w:val="28"/>
          <w:highlight w:val="none"/>
        </w:rPr>
      </w:pPr>
      <w:r>
        <w:rPr>
          <w:rFonts w:hint="eastAsia" w:ascii="宋体" w:hAnsi="宋体" w:eastAsia="宋体" w:cs="宋体"/>
          <w:color w:val="auto"/>
          <w:spacing w:val="0"/>
          <w:sz w:val="28"/>
          <w:szCs w:val="28"/>
          <w:highlight w:val="none"/>
        </w:rPr>
        <w:fldChar w:fldCharType="begin"/>
      </w:r>
      <w:r>
        <w:rPr>
          <w:rFonts w:hint="eastAsia" w:ascii="宋体" w:hAnsi="宋体" w:eastAsia="宋体" w:cs="宋体"/>
          <w:color w:val="auto"/>
          <w:spacing w:val="0"/>
          <w:sz w:val="28"/>
          <w:szCs w:val="28"/>
          <w:highlight w:val="none"/>
        </w:rPr>
        <w:instrText xml:space="preserve"> HYPERLINK \l _Toc28587 </w:instrText>
      </w:r>
      <w:r>
        <w:rPr>
          <w:rFonts w:hint="eastAsia" w:ascii="宋体" w:hAnsi="宋体" w:eastAsia="宋体" w:cs="宋体"/>
          <w:color w:val="auto"/>
          <w:spacing w:val="0"/>
          <w:sz w:val="28"/>
          <w:szCs w:val="28"/>
          <w:highlight w:val="none"/>
        </w:rPr>
        <w:fldChar w:fldCharType="separate"/>
      </w:r>
      <w:r>
        <w:rPr>
          <w:rFonts w:hint="eastAsia" w:ascii="宋体" w:hAnsi="宋体" w:eastAsia="宋体" w:cs="宋体"/>
          <w:bCs/>
          <w:color w:val="auto"/>
          <w:sz w:val="28"/>
          <w:szCs w:val="28"/>
          <w:highlight w:val="none"/>
        </w:rPr>
        <w:t>第四章 合同条款</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_Toc28587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19</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pacing w:val="0"/>
          <w:sz w:val="28"/>
          <w:szCs w:val="28"/>
          <w:highlight w:val="none"/>
        </w:rPr>
        <w:fldChar w:fldCharType="end"/>
      </w:r>
    </w:p>
    <w:p w14:paraId="615563CC">
      <w:pPr>
        <w:pStyle w:val="27"/>
        <w:tabs>
          <w:tab w:val="right" w:leader="dot" w:pos="8312"/>
        </w:tabs>
        <w:rPr>
          <w:rFonts w:hint="eastAsia" w:ascii="宋体" w:hAnsi="宋体" w:eastAsia="宋体" w:cs="宋体"/>
          <w:color w:val="auto"/>
          <w:sz w:val="28"/>
          <w:szCs w:val="28"/>
          <w:highlight w:val="none"/>
        </w:rPr>
      </w:pPr>
      <w:r>
        <w:rPr>
          <w:rFonts w:hint="eastAsia" w:ascii="宋体" w:hAnsi="宋体" w:eastAsia="宋体" w:cs="宋体"/>
          <w:color w:val="auto"/>
          <w:spacing w:val="0"/>
          <w:sz w:val="28"/>
          <w:szCs w:val="28"/>
          <w:highlight w:val="none"/>
        </w:rPr>
        <w:fldChar w:fldCharType="begin"/>
      </w:r>
      <w:r>
        <w:rPr>
          <w:rFonts w:hint="eastAsia" w:ascii="宋体" w:hAnsi="宋体" w:eastAsia="宋体" w:cs="宋体"/>
          <w:color w:val="auto"/>
          <w:spacing w:val="0"/>
          <w:sz w:val="28"/>
          <w:szCs w:val="28"/>
          <w:highlight w:val="none"/>
        </w:rPr>
        <w:instrText xml:space="preserve"> HYPERLINK \l _Toc22250 </w:instrText>
      </w:r>
      <w:r>
        <w:rPr>
          <w:rFonts w:hint="eastAsia" w:ascii="宋体" w:hAnsi="宋体" w:eastAsia="宋体" w:cs="宋体"/>
          <w:color w:val="auto"/>
          <w:spacing w:val="0"/>
          <w:sz w:val="28"/>
          <w:szCs w:val="28"/>
          <w:highlight w:val="none"/>
        </w:rPr>
        <w:fldChar w:fldCharType="separate"/>
      </w:r>
      <w:r>
        <w:rPr>
          <w:rFonts w:hint="eastAsia" w:ascii="宋体" w:hAnsi="宋体" w:eastAsia="宋体" w:cs="宋体"/>
          <w:bCs/>
          <w:color w:val="auto"/>
          <w:sz w:val="28"/>
          <w:szCs w:val="28"/>
          <w:highlight w:val="none"/>
        </w:rPr>
        <w:t xml:space="preserve">第五章 </w:t>
      </w:r>
      <w:r>
        <w:rPr>
          <w:rFonts w:hint="eastAsia" w:ascii="宋体" w:hAnsi="宋体" w:eastAsia="宋体" w:cs="宋体"/>
          <w:bCs/>
          <w:color w:val="auto"/>
          <w:sz w:val="28"/>
          <w:szCs w:val="28"/>
          <w:highlight w:val="none"/>
          <w:lang w:eastAsia="zh-CN"/>
        </w:rPr>
        <w:t>招</w:t>
      </w:r>
      <w:r>
        <w:rPr>
          <w:rFonts w:hint="eastAsia" w:ascii="宋体" w:hAnsi="宋体" w:eastAsia="宋体" w:cs="宋体"/>
          <w:bCs/>
          <w:color w:val="auto"/>
          <w:sz w:val="28"/>
          <w:szCs w:val="28"/>
          <w:highlight w:val="none"/>
          <w:lang w:val="en-US" w:eastAsia="zh-CN"/>
        </w:rPr>
        <w:t>募</w:t>
      </w:r>
      <w:r>
        <w:rPr>
          <w:rFonts w:hint="eastAsia" w:ascii="宋体" w:hAnsi="宋体" w:eastAsia="宋体" w:cs="宋体"/>
          <w:bCs/>
          <w:color w:val="auto"/>
          <w:sz w:val="28"/>
          <w:szCs w:val="28"/>
          <w:highlight w:val="none"/>
          <w:lang w:eastAsia="zh-CN"/>
        </w:rPr>
        <w:t>需求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_Toc22250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25</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pacing w:val="0"/>
          <w:sz w:val="28"/>
          <w:szCs w:val="28"/>
          <w:highlight w:val="none"/>
        </w:rPr>
        <w:fldChar w:fldCharType="end"/>
      </w:r>
    </w:p>
    <w:p w14:paraId="55903E31">
      <w:pPr>
        <w:pStyle w:val="27"/>
        <w:tabs>
          <w:tab w:val="right" w:leader="dot" w:pos="8312"/>
        </w:tabs>
        <w:rPr>
          <w:rFonts w:hint="eastAsia" w:ascii="宋体" w:hAnsi="宋体" w:eastAsia="宋体" w:cs="宋体"/>
          <w:color w:val="auto"/>
          <w:sz w:val="28"/>
          <w:szCs w:val="28"/>
          <w:highlight w:val="none"/>
        </w:rPr>
      </w:pPr>
      <w:r>
        <w:rPr>
          <w:rFonts w:hint="eastAsia" w:ascii="宋体" w:hAnsi="宋体" w:eastAsia="宋体" w:cs="宋体"/>
          <w:color w:val="auto"/>
          <w:spacing w:val="0"/>
          <w:sz w:val="28"/>
          <w:szCs w:val="28"/>
          <w:highlight w:val="none"/>
        </w:rPr>
        <w:fldChar w:fldCharType="begin"/>
      </w:r>
      <w:r>
        <w:rPr>
          <w:rFonts w:hint="eastAsia" w:ascii="宋体" w:hAnsi="宋体" w:eastAsia="宋体" w:cs="宋体"/>
          <w:color w:val="auto"/>
          <w:spacing w:val="0"/>
          <w:sz w:val="28"/>
          <w:szCs w:val="28"/>
          <w:highlight w:val="none"/>
        </w:rPr>
        <w:instrText xml:space="preserve"> HYPERLINK \l _Toc29884 </w:instrText>
      </w:r>
      <w:r>
        <w:rPr>
          <w:rFonts w:hint="eastAsia" w:ascii="宋体" w:hAnsi="宋体" w:eastAsia="宋体" w:cs="宋体"/>
          <w:color w:val="auto"/>
          <w:spacing w:val="0"/>
          <w:sz w:val="28"/>
          <w:szCs w:val="28"/>
          <w:highlight w:val="none"/>
        </w:rPr>
        <w:fldChar w:fldCharType="separate"/>
      </w:r>
      <w:r>
        <w:rPr>
          <w:rFonts w:hint="eastAsia" w:ascii="宋体" w:hAnsi="宋体" w:eastAsia="宋体" w:cs="宋体"/>
          <w:bCs/>
          <w:color w:val="auto"/>
          <w:sz w:val="28"/>
          <w:szCs w:val="28"/>
          <w:highlight w:val="none"/>
        </w:rPr>
        <w:t xml:space="preserve">第六章 </w:t>
      </w:r>
      <w:r>
        <w:rPr>
          <w:rFonts w:hint="eastAsia" w:ascii="宋体" w:hAnsi="宋体" w:eastAsia="宋体" w:cs="宋体"/>
          <w:bCs/>
          <w:color w:val="auto"/>
          <w:sz w:val="28"/>
          <w:szCs w:val="28"/>
          <w:highlight w:val="none"/>
          <w:lang w:eastAsia="zh-CN"/>
        </w:rPr>
        <w:t>投标文件</w:t>
      </w:r>
      <w:r>
        <w:rPr>
          <w:rFonts w:hint="eastAsia" w:ascii="宋体" w:hAnsi="宋体" w:eastAsia="宋体" w:cs="宋体"/>
          <w:bCs/>
          <w:color w:val="auto"/>
          <w:sz w:val="28"/>
          <w:szCs w:val="28"/>
          <w:highlight w:val="none"/>
        </w:rPr>
        <w:t>组成</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_Toc29884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pacing w:val="0"/>
          <w:sz w:val="28"/>
          <w:szCs w:val="28"/>
          <w:highlight w:val="none"/>
        </w:rPr>
        <w:fldChar w:fldCharType="end"/>
      </w:r>
    </w:p>
    <w:p w14:paraId="116E5F51">
      <w:pPr>
        <w:pStyle w:val="16"/>
        <w:widowControl/>
        <w:tabs>
          <w:tab w:val="right" w:leader="dot" w:pos="9014"/>
        </w:tabs>
        <w:spacing w:before="0" w:beforeAutospacing="0" w:after="0" w:afterAutospacing="0"/>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fldChar w:fldCharType="end"/>
      </w:r>
    </w:p>
    <w:p w14:paraId="58AC9B45">
      <w:pPr>
        <w:rPr>
          <w:rFonts w:hint="eastAsia" w:ascii="宋体" w:hAnsi="宋体" w:eastAsia="宋体" w:cs="宋体"/>
          <w:color w:val="auto"/>
          <w:highlight w:val="none"/>
        </w:rPr>
      </w:pPr>
      <w:r>
        <w:rPr>
          <w:rFonts w:hint="eastAsia" w:ascii="宋体" w:hAnsi="宋体" w:eastAsia="宋体" w:cs="宋体"/>
          <w:color w:val="auto"/>
          <w:sz w:val="28"/>
          <w:szCs w:val="28"/>
          <w:highlight w:val="none"/>
        </w:rPr>
        <w:fldChar w:fldCharType="end"/>
      </w:r>
    </w:p>
    <w:p w14:paraId="70C4918B">
      <w:pPr>
        <w:pStyle w:val="16"/>
        <w:adjustRightInd w:val="0"/>
        <w:snapToGrid w:val="0"/>
        <w:spacing w:before="0" w:beforeAutospacing="0" w:after="0" w:afterAutospacing="0" w:line="360" w:lineRule="auto"/>
        <w:jc w:val="both"/>
        <w:rPr>
          <w:rFonts w:hint="eastAsia" w:ascii="宋体" w:hAnsi="宋体" w:eastAsia="宋体" w:cs="宋体"/>
          <w:b/>
          <w:color w:val="auto"/>
          <w:spacing w:val="0"/>
          <w:highlight w:val="none"/>
        </w:rPr>
      </w:pPr>
    </w:p>
    <w:p w14:paraId="61951A02">
      <w:pPr>
        <w:pStyle w:val="16"/>
        <w:adjustRightInd w:val="0"/>
        <w:snapToGrid w:val="0"/>
        <w:spacing w:before="0" w:beforeAutospacing="0" w:after="0" w:afterAutospacing="0" w:line="360" w:lineRule="auto"/>
        <w:jc w:val="both"/>
        <w:rPr>
          <w:rFonts w:hint="eastAsia" w:ascii="宋体" w:hAnsi="宋体" w:eastAsia="宋体" w:cs="宋体"/>
          <w:b/>
          <w:color w:val="auto"/>
          <w:spacing w:val="0"/>
          <w:highlight w:val="none"/>
        </w:rPr>
      </w:pPr>
    </w:p>
    <w:p w14:paraId="01C3C461">
      <w:pPr>
        <w:pStyle w:val="16"/>
        <w:spacing w:before="240" w:beforeAutospacing="0" w:after="60" w:afterAutospacing="0" w:line="312" w:lineRule="auto"/>
        <w:jc w:val="center"/>
        <w:outlineLvl w:val="9"/>
        <w:rPr>
          <w:rFonts w:hint="eastAsia" w:ascii="宋体" w:hAnsi="宋体" w:eastAsia="宋体" w:cs="宋体"/>
          <w:b/>
          <w:bCs/>
          <w:color w:val="auto"/>
          <w:spacing w:val="0"/>
          <w:kern w:val="28"/>
          <w:sz w:val="32"/>
          <w:szCs w:val="32"/>
          <w:highlight w:val="none"/>
        </w:rPr>
        <w:sectPr>
          <w:footerReference r:id="rId3" w:type="default"/>
          <w:pgSz w:w="11906" w:h="16838"/>
          <w:pgMar w:top="1417" w:right="1417" w:bottom="1417" w:left="1417" w:header="850" w:footer="850" w:gutter="0"/>
          <w:pgNumType w:start="1"/>
          <w:cols w:space="0" w:num="1"/>
          <w:rtlGutter w:val="0"/>
          <w:docGrid w:type="linesAndChars" w:linePitch="318" w:charSpace="0"/>
        </w:sectPr>
      </w:pPr>
      <w:bookmarkStart w:id="0" w:name="_Toc17150"/>
      <w:bookmarkStart w:id="1" w:name="_Toc15188"/>
      <w:bookmarkStart w:id="2" w:name="_Toc84"/>
      <w:bookmarkStart w:id="3" w:name="_Toc531270266"/>
      <w:bookmarkStart w:id="4" w:name="_Toc24051"/>
    </w:p>
    <w:p w14:paraId="459A923B">
      <w:pPr>
        <w:pStyle w:val="16"/>
        <w:keepNext w:val="0"/>
        <w:keepLines w:val="0"/>
        <w:pageBreakBefore w:val="0"/>
        <w:widowControl w:val="0"/>
        <w:kinsoku/>
        <w:wordWrap w:val="0"/>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宋体" w:hAnsi="宋体" w:eastAsia="宋体" w:cs="宋体"/>
          <w:b/>
          <w:bCs/>
          <w:color w:val="auto"/>
          <w:spacing w:val="0"/>
          <w:highlight w:val="none"/>
          <w:lang w:val="en-US" w:eastAsia="zh-CN"/>
        </w:rPr>
      </w:pPr>
      <w:bookmarkStart w:id="5" w:name="_Toc3607"/>
      <w:r>
        <w:rPr>
          <w:rFonts w:hint="eastAsia" w:ascii="宋体" w:hAnsi="宋体" w:eastAsia="宋体" w:cs="宋体"/>
          <w:b/>
          <w:bCs/>
          <w:color w:val="auto"/>
          <w:spacing w:val="0"/>
          <w:kern w:val="28"/>
          <w:sz w:val="32"/>
          <w:szCs w:val="32"/>
          <w:highlight w:val="none"/>
        </w:rPr>
        <w:t xml:space="preserve">第一章  </w:t>
      </w:r>
      <w:r>
        <w:rPr>
          <w:rFonts w:hint="eastAsia" w:ascii="宋体" w:hAnsi="宋体" w:eastAsia="宋体" w:cs="宋体"/>
          <w:b/>
          <w:bCs/>
          <w:color w:val="auto"/>
          <w:spacing w:val="0"/>
          <w:kern w:val="28"/>
          <w:sz w:val="32"/>
          <w:szCs w:val="32"/>
          <w:highlight w:val="none"/>
          <w:lang w:val="en-US" w:eastAsia="zh-CN"/>
        </w:rPr>
        <w:t>公开招募</w:t>
      </w:r>
      <w:r>
        <w:rPr>
          <w:rFonts w:hint="eastAsia" w:ascii="宋体" w:hAnsi="宋体" w:eastAsia="宋体" w:cs="宋体"/>
          <w:b/>
          <w:bCs/>
          <w:color w:val="auto"/>
          <w:spacing w:val="0"/>
          <w:kern w:val="28"/>
          <w:sz w:val="32"/>
          <w:szCs w:val="32"/>
          <w:highlight w:val="none"/>
        </w:rPr>
        <w:t>比选</w:t>
      </w:r>
      <w:bookmarkEnd w:id="0"/>
      <w:bookmarkEnd w:id="1"/>
      <w:bookmarkEnd w:id="2"/>
      <w:bookmarkEnd w:id="3"/>
      <w:bookmarkEnd w:id="4"/>
      <w:bookmarkEnd w:id="5"/>
      <w:r>
        <w:rPr>
          <w:rFonts w:hint="eastAsia" w:ascii="宋体" w:hAnsi="宋体" w:eastAsia="宋体" w:cs="宋体"/>
          <w:b/>
          <w:bCs/>
          <w:color w:val="auto"/>
          <w:spacing w:val="0"/>
          <w:kern w:val="28"/>
          <w:sz w:val="32"/>
          <w:szCs w:val="32"/>
          <w:highlight w:val="none"/>
          <w:lang w:val="en-US" w:eastAsia="zh-CN"/>
        </w:rPr>
        <w:t>公告</w:t>
      </w:r>
    </w:p>
    <w:p w14:paraId="23826D66">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eastAsia="zh-CN"/>
        </w:rPr>
        <w:t>长沙融城经济发展集团有限公司</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u w:val="single"/>
          <w:lang w:eastAsia="zh-CN"/>
        </w:rPr>
        <w:t>湖南大数据交易所储能、充电桩项目运营服务</w:t>
      </w:r>
      <w:r>
        <w:rPr>
          <w:rFonts w:hint="eastAsia" w:ascii="宋体" w:hAnsi="宋体" w:eastAsia="宋体" w:cs="宋体"/>
          <w:color w:val="auto"/>
          <w:sz w:val="21"/>
          <w:szCs w:val="21"/>
          <w:highlight w:val="none"/>
          <w:u w:val="single"/>
          <w:lang w:val="en-US" w:eastAsia="zh-CN"/>
        </w:rPr>
        <w:t>商</w:t>
      </w:r>
      <w:r>
        <w:rPr>
          <w:rFonts w:hint="eastAsia" w:ascii="宋体" w:hAnsi="宋体" w:eastAsia="宋体" w:cs="宋体"/>
          <w:color w:val="auto"/>
          <w:sz w:val="21"/>
          <w:szCs w:val="21"/>
          <w:highlight w:val="none"/>
        </w:rPr>
        <w:t>进行</w:t>
      </w:r>
      <w:r>
        <w:rPr>
          <w:rFonts w:hint="eastAsia" w:ascii="宋体" w:hAnsi="宋体" w:eastAsia="宋体" w:cs="宋体"/>
          <w:color w:val="auto"/>
          <w:sz w:val="21"/>
          <w:szCs w:val="21"/>
          <w:highlight w:val="none"/>
          <w:lang w:val="en-US" w:eastAsia="zh-CN"/>
        </w:rPr>
        <w:t>公开招募</w:t>
      </w:r>
      <w:r>
        <w:rPr>
          <w:rFonts w:hint="eastAsia" w:ascii="宋体" w:hAnsi="宋体" w:eastAsia="宋体" w:cs="宋体"/>
          <w:color w:val="auto"/>
          <w:sz w:val="21"/>
          <w:szCs w:val="21"/>
          <w:highlight w:val="none"/>
          <w:lang w:eastAsia="zh-CN"/>
        </w:rPr>
        <w:t>比选</w:t>
      </w:r>
      <w:r>
        <w:rPr>
          <w:rFonts w:hint="eastAsia" w:ascii="宋体" w:hAnsi="宋体" w:eastAsia="宋体" w:cs="宋体"/>
          <w:color w:val="auto"/>
          <w:sz w:val="21"/>
          <w:szCs w:val="21"/>
          <w:highlight w:val="none"/>
        </w:rPr>
        <w:t>，现发布比选公告，欢迎符合条件的供应商参与投标。</w:t>
      </w:r>
    </w:p>
    <w:p w14:paraId="560FB971">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一、项目</w:t>
      </w:r>
      <w:r>
        <w:rPr>
          <w:rFonts w:hint="eastAsia" w:ascii="宋体" w:hAnsi="宋体" w:eastAsia="宋体" w:cs="宋体"/>
          <w:b/>
          <w:color w:val="auto"/>
          <w:sz w:val="21"/>
          <w:szCs w:val="21"/>
          <w:highlight w:val="none"/>
          <w:lang w:val="en-US" w:eastAsia="zh-CN"/>
        </w:rPr>
        <w:t>基本情况</w:t>
      </w:r>
    </w:p>
    <w:p w14:paraId="55FD152E">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rPr>
        <w:t>1、项目名称：</w:t>
      </w:r>
      <w:r>
        <w:rPr>
          <w:rFonts w:hint="eastAsia" w:ascii="宋体" w:hAnsi="宋体" w:eastAsia="宋体" w:cs="宋体"/>
          <w:color w:val="auto"/>
          <w:sz w:val="21"/>
          <w:szCs w:val="21"/>
          <w:highlight w:val="none"/>
          <w:u w:val="single"/>
          <w:lang w:eastAsia="zh-CN"/>
        </w:rPr>
        <w:t>湖南大数据交易所储能、充电桩项目运营服务</w:t>
      </w:r>
    </w:p>
    <w:p w14:paraId="454E3B42">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招募编号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ZHLX-2025-130</w:t>
      </w:r>
    </w:p>
    <w:p w14:paraId="23F45CD1">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运营期限</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项目合作周期约定为20年，合同签署10年一签，自项目建成并网之日起算。</w:t>
      </w:r>
    </w:p>
    <w:p w14:paraId="03450AFA">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b w:val="0"/>
          <w:bCs/>
          <w:color w:val="auto"/>
          <w:sz w:val="21"/>
          <w:szCs w:val="21"/>
          <w:highlight w:val="none"/>
          <w:lang w:val="en-US"/>
        </w:rPr>
      </w:pPr>
      <w:r>
        <w:rPr>
          <w:rFonts w:hint="eastAsia" w:ascii="宋体" w:hAnsi="宋体" w:eastAsia="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lang w:val="en-US" w:eastAsia="zh-CN"/>
        </w:rPr>
        <w:t>项目</w:t>
      </w:r>
      <w:r>
        <w:rPr>
          <w:rFonts w:hint="eastAsia" w:ascii="宋体" w:hAnsi="宋体" w:eastAsia="宋体" w:cs="宋体"/>
          <w:b w:val="0"/>
          <w:bCs/>
          <w:color w:val="auto"/>
          <w:sz w:val="21"/>
          <w:szCs w:val="21"/>
          <w:highlight w:val="none"/>
        </w:rPr>
        <w:t>需求：</w:t>
      </w:r>
      <w:r>
        <w:rPr>
          <w:rFonts w:hint="eastAsia" w:ascii="宋体" w:hAnsi="宋体" w:eastAsia="宋体" w:cs="宋体"/>
          <w:b w:val="0"/>
          <w:bCs/>
          <w:color w:val="auto"/>
          <w:sz w:val="21"/>
          <w:szCs w:val="21"/>
          <w:highlight w:val="none"/>
          <w:u w:val="single"/>
        </w:rPr>
        <w:t>详见</w:t>
      </w:r>
      <w:r>
        <w:rPr>
          <w:rFonts w:hint="eastAsia" w:ascii="宋体" w:hAnsi="宋体" w:eastAsia="宋体" w:cs="宋体"/>
          <w:b w:val="0"/>
          <w:bCs/>
          <w:color w:val="auto"/>
          <w:sz w:val="21"/>
          <w:szCs w:val="21"/>
          <w:highlight w:val="none"/>
          <w:u w:val="single"/>
          <w:lang w:val="en-US" w:eastAsia="zh-CN"/>
        </w:rPr>
        <w:t>第五章 招募需求</w:t>
      </w:r>
    </w:p>
    <w:p w14:paraId="6CB5CA3F">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eastAsia="zh-CN"/>
        </w:rPr>
        <w:t>二</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的资格要求</w:t>
      </w:r>
      <w:r>
        <w:rPr>
          <w:rFonts w:hint="eastAsia" w:ascii="宋体" w:hAnsi="宋体" w:eastAsia="宋体" w:cs="宋体"/>
          <w:color w:val="auto"/>
          <w:sz w:val="21"/>
          <w:szCs w:val="21"/>
          <w:highlight w:val="none"/>
        </w:rPr>
        <w:t>：</w:t>
      </w:r>
    </w:p>
    <w:p w14:paraId="4AF6F4C9">
      <w:pPr>
        <w:pStyle w:val="6"/>
        <w:keepNext w:val="0"/>
        <w:keepLines w:val="0"/>
        <w:pageBreakBefore w:val="0"/>
        <w:numPr>
          <w:ilvl w:val="0"/>
          <w:numId w:val="0"/>
        </w:numPr>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投标人</w:t>
      </w:r>
      <w:r>
        <w:rPr>
          <w:rFonts w:hint="eastAsia" w:ascii="宋体" w:hAnsi="宋体" w:eastAsia="宋体" w:cs="宋体"/>
          <w:b/>
          <w:bCs/>
          <w:color w:val="auto"/>
          <w:sz w:val="21"/>
          <w:szCs w:val="21"/>
          <w:highlight w:val="none"/>
        </w:rPr>
        <w:t>基本资格条件：</w:t>
      </w:r>
      <w:r>
        <w:rPr>
          <w:rFonts w:hint="eastAsia" w:ascii="宋体" w:hAnsi="宋体" w:eastAsia="宋体" w:cs="宋体"/>
          <w:color w:val="auto"/>
          <w:kern w:val="2"/>
          <w:sz w:val="21"/>
          <w:szCs w:val="21"/>
          <w:highlight w:val="none"/>
          <w:lang w:val="en-US" w:eastAsia="zh-CN"/>
        </w:rPr>
        <w:t>在中国境内注册具有独立法人资格并取得企业营业执照，营业执照处于有效期，并提供以下资格证明文件：</w:t>
      </w:r>
    </w:p>
    <w:p w14:paraId="65092B98">
      <w:pPr>
        <w:pStyle w:val="6"/>
        <w:keepNext w:val="0"/>
        <w:keepLines w:val="0"/>
        <w:pageBreakBefore w:val="0"/>
        <w:numPr>
          <w:ilvl w:val="0"/>
          <w:numId w:val="0"/>
        </w:numPr>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（1）法人提交企业法人营业执照副本(或者法人登记证书)以及组织机构代码证副本复印件；</w:t>
      </w:r>
    </w:p>
    <w:p w14:paraId="77B5F12C">
      <w:pPr>
        <w:pStyle w:val="6"/>
        <w:keepNext w:val="0"/>
        <w:keepLines w:val="0"/>
        <w:pageBreakBefore w:val="0"/>
        <w:numPr>
          <w:ilvl w:val="0"/>
          <w:numId w:val="0"/>
        </w:numPr>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（2）法人提交法定代表人身份证明原件或者法定代表人授权委托书原件（附法定代表人身份证明原件），自然人提交身份证复印件；</w:t>
      </w:r>
    </w:p>
    <w:p w14:paraId="3E2FBC15">
      <w:pPr>
        <w:pStyle w:val="6"/>
        <w:keepNext w:val="0"/>
        <w:keepLines w:val="0"/>
        <w:pageBreakBefore w:val="0"/>
        <w:numPr>
          <w:ilvl w:val="0"/>
          <w:numId w:val="0"/>
        </w:numPr>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本项目参照长沙市财政局文件《关于政府采购促进中小企业发展若干措施的通知》（长财采购[2022]10号）规定，投标人可凭《湖南省政府采购供应商资格承诺函》（格式见投标文件组成）参与本项目的比选活动，无需再提供财务状况报告、依法缴纳税收和社会保障资金的相关材料、参加政府采购活动前3年在经营活动中没有重大违法记录的书面声明；</w:t>
      </w:r>
    </w:p>
    <w:p w14:paraId="61F8EAF8">
      <w:pPr>
        <w:pStyle w:val="6"/>
        <w:keepNext w:val="0"/>
        <w:keepLines w:val="0"/>
        <w:pageBreakBefore w:val="0"/>
        <w:numPr>
          <w:ilvl w:val="0"/>
          <w:numId w:val="0"/>
        </w:numPr>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（4）其他说明（非法人组织参与投标需提供的相关证明材料）。</w:t>
      </w:r>
    </w:p>
    <w:p w14:paraId="31B4631F">
      <w:pPr>
        <w:pStyle w:val="6"/>
        <w:keepNext w:val="0"/>
        <w:keepLines w:val="0"/>
        <w:pageBreakBefore w:val="0"/>
        <w:numPr>
          <w:ilvl w:val="0"/>
          <w:numId w:val="0"/>
        </w:numPr>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b/>
          <w:bCs/>
          <w:color w:val="auto"/>
          <w:sz w:val="21"/>
          <w:szCs w:val="21"/>
          <w:highlight w:val="none"/>
          <w:lang w:val="en-US" w:eastAsia="zh-CN"/>
        </w:rPr>
        <w:t xml:space="preserve"> 说明：</w:t>
      </w:r>
      <w:r>
        <w:rPr>
          <w:rFonts w:hint="eastAsia" w:ascii="宋体" w:hAnsi="宋体" w:eastAsia="宋体" w:cs="宋体"/>
          <w:color w:val="auto"/>
          <w:kern w:val="2"/>
          <w:sz w:val="21"/>
          <w:szCs w:val="21"/>
          <w:highlight w:val="none"/>
          <w:lang w:val="en-US" w:eastAsia="zh-CN"/>
        </w:rPr>
        <w:t>①供应商具有实行了“三证合一”登记制度改革的新证，视同为持有工商营业执照、组织机构代码证和税务登记证，实行了“五证合一”登记制度改革的新证，视同为持有工商营业执照、组织机构代码证、税务登记证、社保登记证和统计登记证；符合基本资格条件的相关条款。（实行了“三证合一”或者“五证合一”的，请自行说明。）</w:t>
      </w:r>
    </w:p>
    <w:p w14:paraId="557E064D">
      <w:pPr>
        <w:pStyle w:val="6"/>
        <w:keepNext w:val="0"/>
        <w:keepLines w:val="0"/>
        <w:pageBreakBefore w:val="0"/>
        <w:numPr>
          <w:ilvl w:val="0"/>
          <w:numId w:val="0"/>
        </w:numPr>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②被“信用中国”网站列入严重失信名单的、被“中国政府采购网”网站列入政府采购严重违法失信行为记录名单（处罚期限尚未届满的），不得参与本项目的比选活动。</w:t>
      </w:r>
    </w:p>
    <w:p w14:paraId="73779615">
      <w:pPr>
        <w:pStyle w:val="6"/>
        <w:keepNext w:val="0"/>
        <w:keepLines w:val="0"/>
        <w:pageBreakBefore w:val="0"/>
        <w:numPr>
          <w:ilvl w:val="0"/>
          <w:numId w:val="0"/>
        </w:numPr>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③单位负责人为同一人或者存在直接控股、管理关系的不同投标人，不得参加同一合同项下的比选活动。</w:t>
      </w:r>
    </w:p>
    <w:p w14:paraId="6BD24A1C">
      <w:pPr>
        <w:pStyle w:val="6"/>
        <w:keepNext w:val="0"/>
        <w:keepLines w:val="0"/>
        <w:pageBreakBefore w:val="0"/>
        <w:numPr>
          <w:ilvl w:val="0"/>
          <w:numId w:val="0"/>
        </w:numPr>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kern w:val="0"/>
          <w:sz w:val="20"/>
          <w:szCs w:val="20"/>
          <w:highlight w:val="none"/>
          <w:lang w:val="en-US" w:eastAsia="zh-CN"/>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投标人</w:t>
      </w:r>
      <w:r>
        <w:rPr>
          <w:rFonts w:hint="eastAsia" w:ascii="宋体" w:hAnsi="宋体" w:eastAsia="宋体" w:cs="宋体"/>
          <w:b/>
          <w:bCs/>
          <w:color w:val="auto"/>
          <w:sz w:val="21"/>
          <w:szCs w:val="21"/>
          <w:highlight w:val="none"/>
        </w:rPr>
        <w:t>特定资格条件：</w:t>
      </w:r>
      <w:r>
        <w:rPr>
          <w:rFonts w:hint="eastAsia" w:ascii="宋体" w:hAnsi="宋体" w:eastAsia="宋体" w:cs="宋体"/>
          <w:color w:val="auto"/>
          <w:kern w:val="2"/>
          <w:sz w:val="21"/>
          <w:szCs w:val="21"/>
          <w:highlight w:val="none"/>
          <w:lang w:val="en-US" w:eastAsia="zh-CN"/>
        </w:rPr>
        <w:t>投标人须为省发展和改革委员会（省能源局）电动汽车充电设施运营备案企业（提供省发展和改革委员会（省能源局）关于电动汽车充电设施运营企业的公示截图）；</w:t>
      </w:r>
    </w:p>
    <w:p w14:paraId="603127AA">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本次比选</w:t>
      </w:r>
      <w:r>
        <w:rPr>
          <w:rFonts w:hint="eastAsia" w:ascii="宋体" w:hAnsi="宋体" w:eastAsia="宋体" w:cs="宋体"/>
          <w:b/>
          <w:bCs/>
          <w:color w:val="auto"/>
          <w:sz w:val="21"/>
          <w:szCs w:val="21"/>
          <w:highlight w:val="none"/>
          <w:u w:val="none"/>
          <w:lang w:eastAsia="zh-CN"/>
        </w:rPr>
        <w:t>不接受</w:t>
      </w:r>
      <w:r>
        <w:rPr>
          <w:rFonts w:hint="eastAsia" w:ascii="宋体" w:hAnsi="宋体" w:eastAsia="宋体" w:cs="宋体"/>
          <w:b/>
          <w:bCs/>
          <w:color w:val="auto"/>
          <w:sz w:val="21"/>
          <w:szCs w:val="21"/>
          <w:highlight w:val="none"/>
          <w:u w:val="none"/>
        </w:rPr>
        <w:t>联</w:t>
      </w:r>
      <w:r>
        <w:rPr>
          <w:rFonts w:hint="eastAsia" w:ascii="宋体" w:hAnsi="宋体" w:eastAsia="宋体" w:cs="宋体"/>
          <w:b/>
          <w:bCs/>
          <w:color w:val="auto"/>
          <w:sz w:val="21"/>
          <w:szCs w:val="21"/>
          <w:highlight w:val="none"/>
        </w:rPr>
        <w:t>合体</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不得转包。</w:t>
      </w:r>
    </w:p>
    <w:p w14:paraId="7769C0F1">
      <w:pPr>
        <w:keepNext w:val="0"/>
        <w:keepLines w:val="0"/>
        <w:pageBreakBefore w:val="0"/>
        <w:widowControl w:val="0"/>
        <w:kinsoku/>
        <w:overflowPunct/>
        <w:topLinePunct w:val="0"/>
        <w:autoSpaceDE w:val="0"/>
        <w:autoSpaceDN w:val="0"/>
        <w:bidi w:val="0"/>
        <w:adjustRightInd w:val="0"/>
        <w:snapToGrid w:val="0"/>
        <w:spacing w:line="360" w:lineRule="auto"/>
        <w:ind w:left="0" w:leftChars="0" w:firstLine="420" w:firstLineChars="200"/>
        <w:jc w:val="left"/>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4、资格证明文件复印件须加盖投标人公章。</w:t>
      </w:r>
    </w:p>
    <w:p w14:paraId="038F825E">
      <w:pPr>
        <w:pStyle w:val="17"/>
        <w:keepNext w:val="0"/>
        <w:keepLines w:val="0"/>
        <w:pageBreakBefore w:val="0"/>
        <w:widowControl w:val="0"/>
        <w:kinsoku/>
        <w:wordWrap/>
        <w:overflowPunct/>
        <w:topLinePunct w:val="0"/>
        <w:bidi w:val="0"/>
        <w:adjustRightInd w:val="0"/>
        <w:snapToGrid w:val="0"/>
        <w:spacing w:after="0" w:line="360" w:lineRule="auto"/>
        <w:ind w:left="0" w:leftChars="0" w:firstLine="420"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highlight w:val="none"/>
          <w:lang w:eastAsia="zh-CN"/>
        </w:rPr>
        <w:t>　　</w:t>
      </w:r>
      <w:r>
        <w:rPr>
          <w:rFonts w:hint="eastAsia" w:ascii="宋体" w:hAnsi="宋体" w:eastAsia="宋体" w:cs="宋体"/>
          <w:b/>
          <w:color w:val="auto"/>
          <w:sz w:val="21"/>
          <w:szCs w:val="21"/>
          <w:highlight w:val="none"/>
          <w:lang w:val="en-US" w:eastAsia="zh-CN"/>
        </w:rPr>
        <w:t>三</w:t>
      </w:r>
      <w:r>
        <w:rPr>
          <w:rFonts w:hint="eastAsia" w:ascii="宋体" w:hAnsi="宋体" w:eastAsia="宋体" w:cs="宋体"/>
          <w:b/>
          <w:color w:val="auto"/>
          <w:sz w:val="21"/>
          <w:szCs w:val="21"/>
          <w:highlight w:val="none"/>
        </w:rPr>
        <w:t>、比选文件的获取</w:t>
      </w:r>
    </w:p>
    <w:p w14:paraId="3B8C7F67">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凡有意参加</w:t>
      </w:r>
      <w:r>
        <w:rPr>
          <w:rFonts w:hint="eastAsia" w:ascii="宋体" w:hAnsi="宋体" w:eastAsia="宋体" w:cs="宋体"/>
          <w:sz w:val="21"/>
          <w:szCs w:val="21"/>
          <w:highlight w:val="none"/>
          <w:lang w:val="en-US" w:eastAsia="zh-CN"/>
        </w:rPr>
        <w:t>比选</w:t>
      </w:r>
      <w:r>
        <w:rPr>
          <w:rFonts w:hint="eastAsia" w:ascii="宋体" w:hAnsi="宋体" w:eastAsia="宋体" w:cs="宋体"/>
          <w:sz w:val="21"/>
          <w:szCs w:val="21"/>
          <w:highlight w:val="none"/>
        </w:rPr>
        <w:t>者，请于</w:t>
      </w:r>
      <w:r>
        <w:rPr>
          <w:rFonts w:hint="eastAsia" w:ascii="宋体" w:hAnsi="宋体" w:eastAsia="宋体" w:cs="宋体"/>
          <w:sz w:val="21"/>
          <w:szCs w:val="21"/>
          <w:highlight w:val="none"/>
          <w:u w:val="single"/>
          <w:lang w:val="en-US" w:eastAsia="zh-CN"/>
        </w:rPr>
        <w:t>2025</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lang w:val="en-US" w:eastAsia="zh-CN"/>
        </w:rPr>
        <w:t xml:space="preserve"> 11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lang w:val="en-US" w:eastAsia="zh-CN"/>
        </w:rPr>
        <w:t xml:space="preserve"> 3 </w:t>
      </w:r>
      <w:r>
        <w:rPr>
          <w:rFonts w:hint="eastAsia" w:ascii="宋体" w:hAnsi="宋体" w:eastAsia="宋体" w:cs="宋体"/>
          <w:sz w:val="21"/>
          <w:szCs w:val="21"/>
          <w:highlight w:val="none"/>
        </w:rPr>
        <w:t>日至</w:t>
      </w:r>
      <w:r>
        <w:rPr>
          <w:rFonts w:hint="eastAsia" w:ascii="宋体" w:hAnsi="宋体" w:eastAsia="宋体" w:cs="宋体"/>
          <w:sz w:val="21"/>
          <w:szCs w:val="21"/>
          <w:highlight w:val="none"/>
          <w:u w:val="single"/>
          <w:lang w:val="en-US" w:eastAsia="zh-CN"/>
        </w:rPr>
        <w:t>2025</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lang w:val="en-US" w:eastAsia="zh-CN"/>
        </w:rPr>
        <w:t xml:space="preserve"> 11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lang w:val="en-US" w:eastAsia="zh-CN"/>
        </w:rPr>
        <w:t xml:space="preserve"> 10 </w:t>
      </w:r>
      <w:r>
        <w:rPr>
          <w:rFonts w:hint="eastAsia" w:ascii="宋体" w:hAnsi="宋体" w:eastAsia="宋体" w:cs="宋体"/>
          <w:sz w:val="21"/>
          <w:szCs w:val="21"/>
          <w:highlight w:val="none"/>
        </w:rPr>
        <w:t>日</w:t>
      </w:r>
      <w:r>
        <w:rPr>
          <w:rFonts w:hint="eastAsia" w:ascii="宋体" w:hAnsi="宋体" w:eastAsia="宋体" w:cs="宋体"/>
          <w:sz w:val="21"/>
          <w:szCs w:val="21"/>
          <w:highlight w:val="none"/>
          <w:u w:val="single"/>
        </w:rPr>
        <w:t>17</w:t>
      </w:r>
      <w:r>
        <w:rPr>
          <w:rFonts w:hint="eastAsia" w:ascii="宋体" w:hAnsi="宋体" w:eastAsia="宋体" w:cs="宋体"/>
          <w:sz w:val="21"/>
          <w:szCs w:val="21"/>
          <w:highlight w:val="none"/>
        </w:rPr>
        <w:t>时</w:t>
      </w:r>
      <w:r>
        <w:rPr>
          <w:rFonts w:hint="eastAsia" w:ascii="宋体" w:hAnsi="宋体" w:eastAsia="宋体" w:cs="宋体"/>
          <w:sz w:val="21"/>
          <w:szCs w:val="21"/>
          <w:highlight w:val="none"/>
          <w:u w:val="single"/>
        </w:rPr>
        <w:t>00</w:t>
      </w:r>
      <w:r>
        <w:rPr>
          <w:rFonts w:hint="eastAsia" w:ascii="宋体" w:hAnsi="宋体" w:eastAsia="宋体" w:cs="宋体"/>
          <w:sz w:val="21"/>
          <w:szCs w:val="21"/>
          <w:highlight w:val="none"/>
        </w:rPr>
        <w:t xml:space="preserve">分止（北京时间，下同）, </w:t>
      </w:r>
      <w:r>
        <w:rPr>
          <w:rFonts w:hint="eastAsia" w:ascii="宋体" w:hAnsi="宋体" w:eastAsia="宋体" w:cs="宋体"/>
          <w:sz w:val="21"/>
          <w:szCs w:val="21"/>
          <w:highlight w:val="none"/>
          <w:shd w:val="clear" w:color="auto" w:fill="FFFFFF"/>
        </w:rPr>
        <w:t>持加盖单位公章的营业执照复印件、法定代表人身份证明或授权委托书(并附法定代表人身份证明)、个人身份证到</w:t>
      </w:r>
      <w:r>
        <w:rPr>
          <w:rFonts w:hint="eastAsia" w:ascii="宋体" w:hAnsi="宋体" w:eastAsia="宋体" w:cs="宋体"/>
          <w:sz w:val="21"/>
          <w:szCs w:val="21"/>
          <w:highlight w:val="none"/>
          <w:shd w:val="clear" w:color="auto" w:fill="FFFFFF"/>
          <w:lang w:eastAsia="zh-CN"/>
        </w:rPr>
        <w:t>中慧力祥项目管理有限公司</w:t>
      </w:r>
      <w:r>
        <w:rPr>
          <w:rFonts w:hint="eastAsia" w:ascii="宋体" w:hAnsi="宋体" w:eastAsia="宋体" w:cs="宋体"/>
          <w:sz w:val="21"/>
          <w:szCs w:val="21"/>
          <w:highlight w:val="none"/>
          <w:shd w:val="clear" w:color="auto" w:fill="FFFFFF"/>
        </w:rPr>
        <w:t>（</w:t>
      </w:r>
      <w:r>
        <w:rPr>
          <w:rFonts w:hint="eastAsia" w:ascii="宋体" w:hAnsi="宋体" w:eastAsia="宋体" w:cs="宋体"/>
          <w:color w:val="auto"/>
          <w:spacing w:val="0"/>
          <w:kern w:val="0"/>
          <w:position w:val="0"/>
          <w:sz w:val="21"/>
          <w:szCs w:val="24"/>
          <w:highlight w:val="none"/>
          <w:u w:val="single"/>
          <w:lang w:eastAsia="zh-CN"/>
        </w:rPr>
        <w:t>长沙市雨花区迎新路499号御溪国际1栋13楼1310房</w:t>
      </w:r>
      <w:r>
        <w:rPr>
          <w:rFonts w:hint="eastAsia" w:ascii="宋体" w:hAnsi="宋体" w:eastAsia="宋体" w:cs="宋体"/>
          <w:sz w:val="21"/>
          <w:szCs w:val="21"/>
          <w:highlight w:val="none"/>
          <w:shd w:val="clear" w:color="auto" w:fill="FFFFFF"/>
        </w:rPr>
        <w:t>）</w:t>
      </w:r>
      <w:r>
        <w:rPr>
          <w:rFonts w:hint="eastAsia" w:ascii="宋体" w:hAnsi="宋体" w:eastAsia="宋体" w:cs="宋体"/>
          <w:sz w:val="21"/>
          <w:szCs w:val="21"/>
          <w:highlight w:val="none"/>
          <w:shd w:val="clear" w:color="auto" w:fill="FFFFFF"/>
          <w:lang w:val="en-US" w:eastAsia="zh-CN"/>
        </w:rPr>
        <w:t>领取比选文件</w:t>
      </w:r>
      <w:r>
        <w:rPr>
          <w:rFonts w:hint="eastAsia" w:ascii="宋体" w:hAnsi="宋体" w:eastAsia="宋体" w:cs="宋体"/>
          <w:sz w:val="21"/>
          <w:szCs w:val="21"/>
          <w:highlight w:val="none"/>
        </w:rPr>
        <w:t>。</w:t>
      </w:r>
    </w:p>
    <w:p w14:paraId="455BDB72">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四</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投标</w:t>
      </w:r>
      <w:r>
        <w:rPr>
          <w:rFonts w:hint="eastAsia" w:ascii="宋体" w:hAnsi="宋体" w:eastAsia="宋体" w:cs="宋体"/>
          <w:b/>
          <w:color w:val="auto"/>
          <w:sz w:val="21"/>
          <w:szCs w:val="21"/>
          <w:highlight w:val="none"/>
        </w:rPr>
        <w:t>文件的递交</w:t>
      </w:r>
    </w:p>
    <w:p w14:paraId="15C1A54E">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b w:val="0"/>
          <w:bCs w:val="0"/>
          <w:sz w:val="21"/>
          <w:szCs w:val="21"/>
          <w:highlight w:val="none"/>
        </w:rPr>
      </w:pPr>
      <w:r>
        <w:rPr>
          <w:rFonts w:hint="eastAsia" w:ascii="宋体" w:hAnsi="宋体" w:eastAsia="宋体" w:cs="宋体"/>
          <w:sz w:val="21"/>
          <w:szCs w:val="21"/>
          <w:highlight w:val="none"/>
          <w:lang w:eastAsia="zh-CN"/>
        </w:rPr>
        <w:t>投标文件</w:t>
      </w:r>
      <w:r>
        <w:rPr>
          <w:rFonts w:hint="eastAsia" w:ascii="宋体" w:hAnsi="宋体" w:eastAsia="宋体" w:cs="宋体"/>
          <w:sz w:val="21"/>
          <w:szCs w:val="21"/>
          <w:highlight w:val="none"/>
        </w:rPr>
        <w:t>递交的截止时间（即：投标截止时间，下</w:t>
      </w:r>
      <w:r>
        <w:rPr>
          <w:rFonts w:hint="eastAsia" w:ascii="宋体" w:hAnsi="宋体" w:eastAsia="宋体" w:cs="宋体"/>
          <w:b w:val="0"/>
          <w:bCs w:val="0"/>
          <w:sz w:val="21"/>
          <w:szCs w:val="21"/>
          <w:highlight w:val="none"/>
        </w:rPr>
        <w:t>同）及开标时间为</w:t>
      </w:r>
      <w:r>
        <w:rPr>
          <w:rFonts w:hint="eastAsia" w:ascii="宋体" w:hAnsi="宋体" w:eastAsia="宋体" w:cs="宋体"/>
          <w:b w:val="0"/>
          <w:bCs w:val="0"/>
          <w:sz w:val="21"/>
          <w:szCs w:val="21"/>
          <w:highlight w:val="none"/>
          <w:u w:val="single"/>
          <w:lang w:val="en-US" w:eastAsia="zh-CN"/>
        </w:rPr>
        <w:t>2025</w:t>
      </w:r>
      <w:r>
        <w:rPr>
          <w:rFonts w:hint="eastAsia" w:ascii="宋体" w:hAnsi="宋体" w:eastAsia="宋体" w:cs="宋体"/>
          <w:b w:val="0"/>
          <w:bCs w:val="0"/>
          <w:sz w:val="21"/>
          <w:szCs w:val="21"/>
          <w:highlight w:val="none"/>
          <w:u w:val="none"/>
        </w:rPr>
        <w:t>年</w:t>
      </w:r>
      <w:r>
        <w:rPr>
          <w:rFonts w:hint="eastAsia" w:ascii="宋体" w:hAnsi="宋体" w:eastAsia="宋体" w:cs="宋体"/>
          <w:b w:val="0"/>
          <w:bCs w:val="0"/>
          <w:sz w:val="21"/>
          <w:szCs w:val="21"/>
          <w:highlight w:val="none"/>
          <w:u w:val="single"/>
          <w:lang w:val="en-US" w:eastAsia="zh-CN"/>
        </w:rPr>
        <w:t xml:space="preserve"> 11 </w:t>
      </w:r>
      <w:r>
        <w:rPr>
          <w:rFonts w:hint="eastAsia" w:ascii="宋体" w:hAnsi="宋体" w:eastAsia="宋体" w:cs="宋体"/>
          <w:b w:val="0"/>
          <w:bCs w:val="0"/>
          <w:sz w:val="21"/>
          <w:szCs w:val="21"/>
          <w:highlight w:val="none"/>
          <w:u w:val="none"/>
        </w:rPr>
        <w:t>月</w:t>
      </w:r>
      <w:r>
        <w:rPr>
          <w:rFonts w:hint="eastAsia" w:ascii="宋体" w:hAnsi="宋体" w:eastAsia="宋体" w:cs="宋体"/>
          <w:b w:val="0"/>
          <w:bCs w:val="0"/>
          <w:sz w:val="21"/>
          <w:szCs w:val="21"/>
          <w:highlight w:val="none"/>
          <w:u w:val="single"/>
          <w:lang w:val="en-US" w:eastAsia="zh-CN"/>
        </w:rPr>
        <w:t xml:space="preserve"> 14 </w:t>
      </w:r>
      <w:r>
        <w:rPr>
          <w:rFonts w:hint="eastAsia" w:ascii="宋体" w:hAnsi="宋体" w:eastAsia="宋体" w:cs="宋体"/>
          <w:b w:val="0"/>
          <w:bCs w:val="0"/>
          <w:sz w:val="21"/>
          <w:szCs w:val="21"/>
          <w:highlight w:val="none"/>
          <w:u w:val="none"/>
        </w:rPr>
        <w:t>日</w:t>
      </w:r>
      <w:r>
        <w:rPr>
          <w:rFonts w:hint="eastAsia" w:ascii="宋体" w:hAnsi="宋体" w:eastAsia="宋体" w:cs="宋体"/>
          <w:b w:val="0"/>
          <w:bCs w:val="0"/>
          <w:sz w:val="21"/>
          <w:szCs w:val="21"/>
          <w:highlight w:val="none"/>
          <w:u w:val="none"/>
          <w:lang w:val="en-US" w:eastAsia="zh-CN"/>
        </w:rPr>
        <w:t>09</w:t>
      </w:r>
      <w:r>
        <w:rPr>
          <w:rFonts w:hint="eastAsia" w:ascii="宋体" w:hAnsi="宋体" w:eastAsia="宋体" w:cs="宋体"/>
          <w:b w:val="0"/>
          <w:bCs w:val="0"/>
          <w:sz w:val="21"/>
          <w:szCs w:val="21"/>
          <w:highlight w:val="none"/>
          <w:u w:val="none"/>
        </w:rPr>
        <w:t>时</w:t>
      </w:r>
      <w:r>
        <w:rPr>
          <w:rFonts w:hint="eastAsia" w:ascii="宋体" w:hAnsi="宋体" w:eastAsia="宋体" w:cs="宋体"/>
          <w:b w:val="0"/>
          <w:bCs w:val="0"/>
          <w:sz w:val="21"/>
          <w:szCs w:val="21"/>
          <w:highlight w:val="none"/>
          <w:u w:val="none"/>
          <w:lang w:val="en-US" w:eastAsia="zh-CN"/>
        </w:rPr>
        <w:t>30</w:t>
      </w:r>
      <w:r>
        <w:rPr>
          <w:rFonts w:hint="eastAsia" w:ascii="宋体" w:hAnsi="宋体" w:eastAsia="宋体" w:cs="宋体"/>
          <w:b w:val="0"/>
          <w:bCs w:val="0"/>
          <w:sz w:val="21"/>
          <w:szCs w:val="21"/>
          <w:highlight w:val="none"/>
          <w:u w:val="none"/>
        </w:rPr>
        <w:t>分</w:t>
      </w:r>
      <w:r>
        <w:rPr>
          <w:rFonts w:hint="eastAsia" w:ascii="宋体" w:hAnsi="宋体" w:eastAsia="宋体" w:cs="宋体"/>
          <w:b w:val="0"/>
          <w:bCs w:val="0"/>
          <w:sz w:val="21"/>
          <w:szCs w:val="21"/>
          <w:highlight w:val="none"/>
        </w:rPr>
        <w:t>。</w:t>
      </w:r>
    </w:p>
    <w:p w14:paraId="41455A09">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投标文件</w:t>
      </w:r>
      <w:r>
        <w:rPr>
          <w:rFonts w:hint="eastAsia" w:ascii="宋体" w:hAnsi="宋体" w:eastAsia="宋体" w:cs="宋体"/>
          <w:sz w:val="21"/>
          <w:szCs w:val="21"/>
          <w:highlight w:val="none"/>
        </w:rPr>
        <w:t>递交</w:t>
      </w:r>
      <w:r>
        <w:rPr>
          <w:rFonts w:hint="eastAsia" w:ascii="宋体" w:hAnsi="宋体" w:eastAsia="宋体" w:cs="宋体"/>
          <w:sz w:val="21"/>
          <w:szCs w:val="21"/>
          <w:highlight w:val="none"/>
          <w:lang w:eastAsia="zh-CN"/>
        </w:rPr>
        <w:t>地址</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u w:val="single"/>
          <w:lang w:val="en-US" w:eastAsia="zh-CN"/>
        </w:rPr>
        <w:t>融发集团会议室（</w:t>
      </w:r>
      <w:r>
        <w:rPr>
          <w:rFonts w:hint="eastAsia" w:ascii="宋体" w:hAnsi="宋体" w:eastAsia="宋体" w:cs="宋体"/>
          <w:bCs/>
          <w:sz w:val="21"/>
          <w:szCs w:val="21"/>
          <w:highlight w:val="none"/>
          <w:u w:val="single"/>
          <w:lang w:eastAsia="zh-CN"/>
        </w:rPr>
        <w:t>湖南省长沙市天心区南托街道暮南路405号</w:t>
      </w:r>
      <w:r>
        <w:rPr>
          <w:rFonts w:hint="eastAsia" w:ascii="宋体" w:hAnsi="宋体" w:eastAsia="宋体" w:cs="宋体"/>
          <w:sz w:val="21"/>
          <w:szCs w:val="21"/>
          <w:highlight w:val="none"/>
          <w:u w:val="single"/>
          <w:lang w:val="en-US" w:eastAsia="zh-CN"/>
        </w:rPr>
        <w:t>）</w:t>
      </w:r>
      <w:r>
        <w:rPr>
          <w:rFonts w:hint="eastAsia" w:ascii="宋体" w:hAnsi="宋体" w:eastAsia="宋体" w:cs="宋体"/>
          <w:sz w:val="21"/>
          <w:szCs w:val="21"/>
          <w:highlight w:val="none"/>
        </w:rPr>
        <w:t>，开标地址：</w:t>
      </w:r>
      <w:r>
        <w:rPr>
          <w:rFonts w:hint="eastAsia" w:ascii="宋体" w:hAnsi="宋体" w:eastAsia="宋体" w:cs="宋体"/>
          <w:sz w:val="21"/>
          <w:szCs w:val="21"/>
          <w:highlight w:val="none"/>
          <w:u w:val="single"/>
          <w:lang w:val="en-US" w:eastAsia="zh-CN"/>
        </w:rPr>
        <w:t>融发集团会议室（</w:t>
      </w:r>
      <w:r>
        <w:rPr>
          <w:rFonts w:hint="eastAsia" w:ascii="宋体" w:hAnsi="宋体" w:eastAsia="宋体" w:cs="宋体"/>
          <w:bCs/>
          <w:sz w:val="21"/>
          <w:szCs w:val="21"/>
          <w:highlight w:val="none"/>
          <w:u w:val="single"/>
          <w:lang w:eastAsia="zh-CN"/>
        </w:rPr>
        <w:t>湖南省长沙市天心区南托街道暮南路405号</w:t>
      </w:r>
      <w:r>
        <w:rPr>
          <w:rFonts w:hint="eastAsia" w:ascii="宋体" w:hAnsi="宋体" w:eastAsia="宋体" w:cs="宋体"/>
          <w:sz w:val="21"/>
          <w:szCs w:val="21"/>
          <w:highlight w:val="none"/>
          <w:u w:val="single"/>
          <w:lang w:val="en-US" w:eastAsia="zh-CN"/>
        </w:rPr>
        <w:t>）</w:t>
      </w:r>
      <w:r>
        <w:rPr>
          <w:rFonts w:hint="eastAsia" w:ascii="宋体" w:hAnsi="宋体" w:eastAsia="宋体" w:cs="宋体"/>
          <w:sz w:val="21"/>
          <w:szCs w:val="21"/>
          <w:highlight w:val="none"/>
        </w:rPr>
        <w:t>。</w:t>
      </w:r>
    </w:p>
    <w:p w14:paraId="69C6ED42">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在截止时间后送达的</w:t>
      </w:r>
      <w:r>
        <w:rPr>
          <w:rFonts w:hint="eastAsia" w:ascii="宋体" w:hAnsi="宋体" w:eastAsia="宋体" w:cs="宋体"/>
          <w:sz w:val="21"/>
          <w:szCs w:val="21"/>
          <w:highlight w:val="none"/>
          <w:lang w:eastAsia="zh-CN"/>
        </w:rPr>
        <w:t>投标文件</w:t>
      </w:r>
      <w:r>
        <w:rPr>
          <w:rFonts w:hint="eastAsia" w:ascii="宋体" w:hAnsi="宋体" w:eastAsia="宋体" w:cs="宋体"/>
          <w:sz w:val="21"/>
          <w:szCs w:val="21"/>
          <w:highlight w:val="none"/>
        </w:rPr>
        <w:t>为无效文件，</w:t>
      </w:r>
      <w:r>
        <w:rPr>
          <w:rFonts w:hint="eastAsia" w:ascii="宋体" w:hAnsi="宋体" w:eastAsia="宋体" w:cs="宋体"/>
          <w:sz w:val="21"/>
          <w:szCs w:val="21"/>
          <w:highlight w:val="none"/>
          <w:lang w:eastAsia="zh-CN"/>
        </w:rPr>
        <w:t>招募人</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招募代理机构</w:t>
      </w:r>
      <w:r>
        <w:rPr>
          <w:rFonts w:hint="eastAsia" w:ascii="宋体" w:hAnsi="宋体" w:eastAsia="宋体" w:cs="宋体"/>
          <w:sz w:val="21"/>
          <w:szCs w:val="21"/>
          <w:highlight w:val="none"/>
        </w:rPr>
        <w:t>或者</w:t>
      </w:r>
      <w:r>
        <w:rPr>
          <w:rFonts w:hint="eastAsia" w:ascii="宋体" w:hAnsi="宋体" w:eastAsia="宋体" w:cs="宋体"/>
          <w:sz w:val="21"/>
          <w:szCs w:val="21"/>
          <w:highlight w:val="none"/>
          <w:lang w:eastAsia="zh-CN"/>
        </w:rPr>
        <w:t>评标委员会</w:t>
      </w:r>
      <w:r>
        <w:rPr>
          <w:rFonts w:hint="eastAsia" w:ascii="宋体" w:hAnsi="宋体" w:eastAsia="宋体" w:cs="宋体"/>
          <w:sz w:val="21"/>
          <w:szCs w:val="21"/>
          <w:highlight w:val="none"/>
        </w:rPr>
        <w:t>应当</w:t>
      </w:r>
      <w:r>
        <w:rPr>
          <w:rFonts w:hint="eastAsia" w:ascii="宋体" w:hAnsi="宋体" w:eastAsia="宋体" w:cs="宋体"/>
          <w:sz w:val="21"/>
          <w:szCs w:val="21"/>
          <w:highlight w:val="none"/>
          <w:lang w:val="en-US" w:eastAsia="zh-CN"/>
        </w:rPr>
        <w:t>拒收。</w:t>
      </w:r>
    </w:p>
    <w:p w14:paraId="05F61EA8">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五</w:t>
      </w:r>
      <w:r>
        <w:rPr>
          <w:rFonts w:hint="eastAsia" w:ascii="宋体" w:hAnsi="宋体" w:eastAsia="宋体" w:cs="宋体"/>
          <w:b/>
          <w:color w:val="auto"/>
          <w:sz w:val="21"/>
          <w:szCs w:val="21"/>
          <w:highlight w:val="none"/>
        </w:rPr>
        <w:t>、发布</w:t>
      </w:r>
      <w:r>
        <w:rPr>
          <w:rFonts w:hint="eastAsia" w:ascii="宋体" w:hAnsi="宋体" w:eastAsia="宋体" w:cs="宋体"/>
          <w:b/>
          <w:color w:val="auto"/>
          <w:sz w:val="21"/>
          <w:szCs w:val="21"/>
          <w:highlight w:val="none"/>
          <w:lang w:val="en-US" w:eastAsia="zh-CN"/>
        </w:rPr>
        <w:t>公告</w:t>
      </w:r>
      <w:r>
        <w:rPr>
          <w:rFonts w:hint="eastAsia" w:ascii="宋体" w:hAnsi="宋体" w:eastAsia="宋体" w:cs="宋体"/>
          <w:b/>
          <w:color w:val="auto"/>
          <w:sz w:val="21"/>
          <w:szCs w:val="21"/>
          <w:highlight w:val="none"/>
        </w:rPr>
        <w:t>的媒体</w:t>
      </w:r>
    </w:p>
    <w:p w14:paraId="47349518">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公告在</w:t>
      </w:r>
      <w:r>
        <w:rPr>
          <w:rFonts w:hint="eastAsia" w:ascii="宋体" w:hAnsi="宋体" w:eastAsia="宋体" w:cs="宋体"/>
          <w:color w:val="auto"/>
          <w:sz w:val="21"/>
          <w:szCs w:val="21"/>
          <w:highlight w:val="none"/>
          <w:u w:val="single"/>
          <w:lang w:eastAsia="zh-CN"/>
        </w:rPr>
        <w:t>长沙融城经济发展集团有限公司官网  http://www.csrfjt.com/</w:t>
      </w:r>
      <w:r>
        <w:rPr>
          <w:rFonts w:hint="eastAsia" w:ascii="宋体" w:hAnsi="宋体" w:eastAsia="宋体" w:cs="宋体"/>
          <w:color w:val="auto"/>
          <w:sz w:val="21"/>
          <w:szCs w:val="21"/>
          <w:highlight w:val="none"/>
        </w:rPr>
        <w:t>上发布。</w:t>
      </w:r>
    </w:p>
    <w:p w14:paraId="3B9D6047">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lang w:val="en-US" w:eastAsia="zh-CN"/>
        </w:rPr>
        <w:t>六</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lang w:eastAsia="zh-CN"/>
        </w:rPr>
        <w:t>招募人</w:t>
      </w:r>
      <w:r>
        <w:rPr>
          <w:rFonts w:hint="eastAsia" w:ascii="宋体" w:hAnsi="宋体" w:eastAsia="宋体" w:cs="宋体"/>
          <w:b/>
          <w:bCs/>
          <w:color w:val="auto"/>
          <w:sz w:val="21"/>
          <w:szCs w:val="21"/>
          <w:highlight w:val="none"/>
        </w:rPr>
        <w:t>及其委托的</w:t>
      </w:r>
      <w:r>
        <w:rPr>
          <w:rFonts w:hint="eastAsia" w:ascii="宋体" w:hAnsi="宋体" w:eastAsia="宋体" w:cs="宋体"/>
          <w:b/>
          <w:bCs/>
          <w:color w:val="auto"/>
          <w:sz w:val="21"/>
          <w:szCs w:val="21"/>
          <w:highlight w:val="none"/>
          <w:lang w:eastAsia="zh-CN"/>
        </w:rPr>
        <w:t>招募代理机构</w:t>
      </w:r>
      <w:r>
        <w:rPr>
          <w:rFonts w:hint="eastAsia" w:ascii="宋体" w:hAnsi="宋体" w:eastAsia="宋体" w:cs="宋体"/>
          <w:b/>
          <w:bCs/>
          <w:color w:val="auto"/>
          <w:sz w:val="21"/>
          <w:szCs w:val="21"/>
          <w:highlight w:val="none"/>
        </w:rPr>
        <w:t>的名称、地址和联系方法</w:t>
      </w:r>
    </w:p>
    <w:p w14:paraId="69984032">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招募人</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lang w:eastAsia="zh-CN"/>
        </w:rPr>
        <w:t>长沙融城经济发展集团有限公司</w:t>
      </w:r>
      <w:r>
        <w:rPr>
          <w:rFonts w:hint="eastAsia" w:ascii="宋体" w:hAnsi="宋体" w:eastAsia="宋体" w:cs="宋体"/>
          <w:bCs/>
          <w:color w:val="auto"/>
          <w:sz w:val="21"/>
          <w:szCs w:val="21"/>
          <w:highlight w:val="none"/>
        </w:rPr>
        <w:t xml:space="preserve"> </w:t>
      </w:r>
    </w:p>
    <w:p w14:paraId="706F0AA3">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rPr>
        <w:t>地  址：</w:t>
      </w:r>
      <w:r>
        <w:rPr>
          <w:rFonts w:hint="eastAsia" w:ascii="宋体" w:hAnsi="宋体" w:eastAsia="宋体" w:cs="宋体"/>
          <w:bCs/>
          <w:color w:val="auto"/>
          <w:sz w:val="21"/>
          <w:szCs w:val="21"/>
          <w:highlight w:val="none"/>
          <w:lang w:eastAsia="zh-CN"/>
        </w:rPr>
        <w:t>湖南省长沙市天心区南托街道暮南路405号</w:t>
      </w:r>
    </w:p>
    <w:p w14:paraId="20B6921D">
      <w:pPr>
        <w:keepNext w:val="0"/>
        <w:keepLines w:val="0"/>
        <w:pageBreakBefore w:val="0"/>
        <w:widowControl w:val="0"/>
        <w:kinsoku/>
        <w:wordWrap/>
        <w:overflowPunct/>
        <w:topLinePunct w:val="0"/>
        <w:bidi w:val="0"/>
        <w:adjustRightInd w:val="0"/>
        <w:snapToGrid w:val="0"/>
        <w:spacing w:line="312"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联系人：</w:t>
      </w:r>
      <w:r>
        <w:rPr>
          <w:rFonts w:hint="eastAsia" w:ascii="宋体" w:hAnsi="宋体" w:eastAsia="宋体" w:cs="宋体"/>
          <w:sz w:val="21"/>
          <w:szCs w:val="21"/>
          <w:highlight w:val="none"/>
          <w:lang w:val="en-US" w:eastAsia="zh-CN"/>
        </w:rPr>
        <w:t>贺蓉蓉</w:t>
      </w:r>
    </w:p>
    <w:p w14:paraId="248F3000">
      <w:pPr>
        <w:shd w:val="clear" w:color="auto" w:fill="auto"/>
        <w:adjustRightInd w:val="0"/>
        <w:snapToGrid w:val="0"/>
        <w:spacing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sz w:val="21"/>
          <w:szCs w:val="21"/>
          <w:highlight w:val="none"/>
        </w:rPr>
        <w:t>电  话：</w:t>
      </w:r>
      <w:r>
        <w:rPr>
          <w:rFonts w:hint="eastAsia" w:ascii="宋体" w:hAnsi="宋体" w:eastAsia="宋体" w:cs="宋体"/>
          <w:color w:val="auto"/>
          <w:kern w:val="0"/>
          <w:sz w:val="21"/>
          <w:szCs w:val="21"/>
          <w:highlight w:val="none"/>
        </w:rPr>
        <w:t>0731-86396615</w:t>
      </w:r>
    </w:p>
    <w:p w14:paraId="482B61C4">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p>
    <w:p w14:paraId="5074F287">
      <w:pPr>
        <w:keepNext w:val="0"/>
        <w:keepLines w:val="0"/>
        <w:pageBreakBefore w:val="0"/>
        <w:shd w:val="clear" w:color="auto" w:fill="auto"/>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宋体" w:hAnsi="宋体" w:eastAsia="宋体" w:cs="宋体"/>
          <w:color w:val="auto"/>
          <w:spacing w:val="0"/>
          <w:kern w:val="0"/>
          <w:position w:val="0"/>
          <w:highlight w:val="none"/>
        </w:rPr>
      </w:pPr>
      <w:bookmarkStart w:id="6" w:name="_Toc14307"/>
      <w:bookmarkStart w:id="7" w:name="_Toc24080"/>
      <w:bookmarkStart w:id="8" w:name="_Toc20507"/>
      <w:r>
        <w:rPr>
          <w:rFonts w:hint="eastAsia" w:ascii="宋体" w:hAnsi="宋体" w:eastAsia="宋体" w:cs="宋体"/>
          <w:b/>
          <w:bCs/>
          <w:color w:val="auto"/>
          <w:sz w:val="21"/>
          <w:szCs w:val="21"/>
          <w:highlight w:val="none"/>
          <w:lang w:eastAsia="zh-CN"/>
        </w:rPr>
        <w:t>招募代理机构</w:t>
      </w:r>
      <w:r>
        <w:rPr>
          <w:rFonts w:hint="eastAsia" w:ascii="宋体" w:hAnsi="宋体" w:eastAsia="宋体" w:cs="宋体"/>
          <w:b/>
          <w:bCs/>
          <w:color w:val="auto"/>
          <w:sz w:val="21"/>
          <w:szCs w:val="21"/>
          <w:highlight w:val="none"/>
        </w:rPr>
        <w:t>：</w:t>
      </w:r>
      <w:r>
        <w:rPr>
          <w:rFonts w:hint="eastAsia" w:ascii="宋体" w:hAnsi="宋体" w:eastAsia="宋体" w:cs="宋体"/>
          <w:color w:val="auto"/>
          <w:spacing w:val="0"/>
          <w:kern w:val="0"/>
          <w:position w:val="0"/>
          <w:highlight w:val="none"/>
          <w:lang w:eastAsia="zh-CN"/>
        </w:rPr>
        <w:t>中慧力祥项目管理有限公司</w:t>
      </w:r>
      <w:r>
        <w:rPr>
          <w:rFonts w:hint="eastAsia" w:ascii="宋体" w:hAnsi="宋体" w:eastAsia="宋体" w:cs="宋体"/>
          <w:color w:val="auto"/>
          <w:spacing w:val="0"/>
          <w:kern w:val="0"/>
          <w:position w:val="0"/>
          <w:highlight w:val="none"/>
        </w:rPr>
        <w:t xml:space="preserve">           </w:t>
      </w:r>
    </w:p>
    <w:p w14:paraId="6CD6126F">
      <w:pPr>
        <w:keepNext w:val="0"/>
        <w:keepLines w:val="0"/>
        <w:pageBreakBefore w:val="0"/>
        <w:shd w:val="clear" w:color="auto" w:fill="auto"/>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宋体" w:hAnsi="宋体" w:eastAsia="宋体" w:cs="宋体"/>
          <w:color w:val="auto"/>
          <w:spacing w:val="0"/>
          <w:kern w:val="0"/>
          <w:position w:val="0"/>
          <w:highlight w:val="none"/>
          <w:lang w:eastAsia="zh-CN"/>
        </w:rPr>
      </w:pPr>
      <w:r>
        <w:rPr>
          <w:rFonts w:hint="eastAsia" w:ascii="宋体" w:hAnsi="宋体" w:eastAsia="宋体" w:cs="宋体"/>
          <w:color w:val="auto"/>
          <w:spacing w:val="0"/>
          <w:kern w:val="0"/>
          <w:position w:val="0"/>
          <w:highlight w:val="none"/>
        </w:rPr>
        <w:t>地</w:t>
      </w:r>
      <w:r>
        <w:rPr>
          <w:rFonts w:hint="eastAsia" w:ascii="宋体" w:hAnsi="宋体" w:eastAsia="宋体" w:cs="宋体"/>
          <w:color w:val="auto"/>
          <w:spacing w:val="0"/>
          <w:kern w:val="0"/>
          <w:position w:val="0"/>
          <w:highlight w:val="none"/>
          <w:lang w:val="en-US" w:eastAsia="zh-CN"/>
        </w:rPr>
        <w:t xml:space="preserve">  </w:t>
      </w:r>
      <w:r>
        <w:rPr>
          <w:rFonts w:hint="eastAsia" w:ascii="宋体" w:hAnsi="宋体" w:eastAsia="宋体" w:cs="宋体"/>
          <w:color w:val="auto"/>
          <w:spacing w:val="0"/>
          <w:kern w:val="0"/>
          <w:position w:val="0"/>
          <w:highlight w:val="none"/>
        </w:rPr>
        <w:t>址：</w:t>
      </w:r>
      <w:r>
        <w:rPr>
          <w:rFonts w:hint="eastAsia" w:ascii="宋体" w:hAnsi="宋体" w:eastAsia="宋体" w:cs="宋体"/>
          <w:color w:val="auto"/>
          <w:spacing w:val="0"/>
          <w:kern w:val="0"/>
          <w:position w:val="0"/>
          <w:highlight w:val="none"/>
          <w:lang w:eastAsia="zh-CN"/>
        </w:rPr>
        <w:t>长沙市雨花区迎新路499号御溪国际1栋13楼1310房</w:t>
      </w:r>
    </w:p>
    <w:p w14:paraId="2F19E6B1">
      <w:pPr>
        <w:keepNext w:val="0"/>
        <w:keepLines w:val="0"/>
        <w:pageBreakBefore w:val="0"/>
        <w:shd w:val="clear" w:color="auto" w:fill="auto"/>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highlight w:val="none"/>
        </w:rPr>
        <w:t>联系人：黎贵兰、贺胜辉、梁巨权</w:t>
      </w:r>
    </w:p>
    <w:p w14:paraId="24453C27">
      <w:pPr>
        <w:keepNext w:val="0"/>
        <w:keepLines w:val="0"/>
        <w:pageBreakBefore w:val="0"/>
        <w:shd w:val="clear" w:color="auto" w:fill="auto"/>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宋体" w:hAnsi="宋体" w:eastAsia="宋体" w:cs="宋体"/>
          <w:color w:val="auto"/>
          <w:spacing w:val="0"/>
          <w:kern w:val="0"/>
          <w:position w:val="0"/>
          <w:highlight w:val="none"/>
        </w:rPr>
      </w:pPr>
      <w:r>
        <w:rPr>
          <w:rFonts w:hint="eastAsia" w:ascii="宋体" w:hAnsi="宋体" w:eastAsia="宋体" w:cs="宋体"/>
          <w:color w:val="auto"/>
          <w:spacing w:val="0"/>
          <w:kern w:val="0"/>
          <w:position w:val="0"/>
          <w:highlight w:val="none"/>
        </w:rPr>
        <w:t>电  话：18674477059、15211177821</w:t>
      </w:r>
    </w:p>
    <w:p w14:paraId="69EF6EB5">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b/>
          <w:bCs/>
          <w:color w:val="auto"/>
          <w:kern w:val="2"/>
          <w:sz w:val="21"/>
          <w:szCs w:val="21"/>
          <w:highlight w:val="none"/>
          <w:lang w:val="en-US" w:eastAsia="zh-CN"/>
        </w:rPr>
      </w:pPr>
    </w:p>
    <w:p w14:paraId="3FD1AEA8">
      <w:pPr>
        <w:keepNext w:val="0"/>
        <w:keepLines w:val="0"/>
        <w:pageBreakBefore w:val="0"/>
        <w:widowControl w:val="0"/>
        <w:kinsoku/>
        <w:wordWrap/>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七、</w:t>
      </w:r>
      <w:r>
        <w:rPr>
          <w:rFonts w:hint="eastAsia" w:ascii="宋体" w:hAnsi="宋体" w:eastAsia="宋体" w:cs="宋体"/>
          <w:b/>
          <w:bCs/>
          <w:color w:val="auto"/>
          <w:sz w:val="21"/>
          <w:szCs w:val="21"/>
          <w:highlight w:val="none"/>
          <w:lang w:val="en-US" w:eastAsia="zh-CN"/>
        </w:rPr>
        <w:t>监督部门</w:t>
      </w:r>
    </w:p>
    <w:p w14:paraId="5931C142">
      <w:pPr>
        <w:keepNext w:val="0"/>
        <w:keepLines w:val="0"/>
        <w:pageBreakBefore w:val="0"/>
        <w:numPr>
          <w:ilvl w:val="0"/>
          <w:numId w:val="0"/>
        </w:numPr>
        <w:kinsoku/>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u w:val="none"/>
          <w:lang w:val="en-US" w:eastAsia="zh-CN"/>
        </w:rPr>
        <w:t>监督部门：融发集团纪检监察室</w:t>
      </w:r>
    </w:p>
    <w:p w14:paraId="3F44CF22">
      <w:pPr>
        <w:keepNext w:val="0"/>
        <w:keepLines w:val="0"/>
        <w:pageBreakBefore w:val="0"/>
        <w:numPr>
          <w:ilvl w:val="0"/>
          <w:numId w:val="0"/>
        </w:numPr>
        <w:kinsoku/>
        <w:overflowPunct/>
        <w:topLinePunct w:val="0"/>
        <w:bidi w:val="0"/>
        <w:adjustRightInd w:val="0"/>
        <w:snapToGrid w:val="0"/>
        <w:spacing w:line="360" w:lineRule="auto"/>
        <w:ind w:left="0" w:leftChars="0" w:firstLine="420" w:firstLineChars="200"/>
        <w:jc w:val="left"/>
        <w:textAlignment w:val="auto"/>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u w:val="none"/>
          <w:lang w:val="en-US" w:eastAsia="zh-CN"/>
        </w:rPr>
        <w:t>电话： 0731-86396615</w:t>
      </w:r>
    </w:p>
    <w:p w14:paraId="6CBEC4D2">
      <w:pPr>
        <w:pStyle w:val="16"/>
        <w:keepNext w:val="0"/>
        <w:keepLines w:val="0"/>
        <w:pageBreakBefore w:val="0"/>
        <w:kinsoku/>
        <w:overflowPunct/>
        <w:topLinePunct w:val="0"/>
        <w:bidi w:val="0"/>
        <w:adjustRightInd w:val="0"/>
        <w:snapToGrid w:val="0"/>
        <w:spacing w:before="0" w:beforeAutospacing="0" w:after="0" w:afterAutospacing="0" w:line="360" w:lineRule="auto"/>
        <w:ind w:left="0" w:leftChars="0" w:firstLine="640" w:firstLineChars="200"/>
        <w:jc w:val="left"/>
        <w:textAlignment w:val="auto"/>
        <w:outlineLvl w:val="9"/>
        <w:rPr>
          <w:rFonts w:hint="eastAsia" w:ascii="宋体" w:hAnsi="宋体" w:eastAsia="宋体" w:cs="宋体"/>
          <w:b/>
          <w:color w:val="auto"/>
          <w:spacing w:val="0"/>
          <w:kern w:val="2"/>
          <w:sz w:val="32"/>
          <w:szCs w:val="32"/>
          <w:highlight w:val="none"/>
        </w:rPr>
      </w:pPr>
    </w:p>
    <w:p w14:paraId="1238D861">
      <w:pPr>
        <w:pStyle w:val="16"/>
        <w:wordWrap/>
        <w:spacing w:before="0" w:beforeAutospacing="0" w:after="0" w:afterAutospacing="0"/>
        <w:jc w:val="center"/>
        <w:outlineLvl w:val="0"/>
        <w:rPr>
          <w:rFonts w:hint="eastAsia" w:ascii="宋体" w:hAnsi="宋体" w:eastAsia="宋体" w:cs="宋体"/>
          <w:b/>
          <w:color w:val="auto"/>
          <w:spacing w:val="0"/>
          <w:kern w:val="2"/>
          <w:sz w:val="32"/>
          <w:szCs w:val="32"/>
          <w:highlight w:val="none"/>
        </w:rPr>
        <w:sectPr>
          <w:footerReference r:id="rId4" w:type="default"/>
          <w:pgSz w:w="11906" w:h="16838"/>
          <w:pgMar w:top="1417" w:right="1417" w:bottom="1417" w:left="1417" w:header="850" w:footer="850" w:gutter="0"/>
          <w:pgNumType w:fmt="decimal" w:start="1"/>
          <w:cols w:space="0" w:num="1"/>
          <w:rtlGutter w:val="0"/>
          <w:docGrid w:type="linesAndChars" w:linePitch="318" w:charSpace="0"/>
        </w:sectPr>
      </w:pPr>
      <w:bookmarkStart w:id="9" w:name="_Toc9981"/>
      <w:bookmarkStart w:id="10" w:name="_Toc9160"/>
    </w:p>
    <w:p w14:paraId="09D3E9DC">
      <w:pPr>
        <w:pStyle w:val="16"/>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auto"/>
        <w:outlineLvl w:val="0"/>
        <w:rPr>
          <w:rFonts w:hint="eastAsia" w:ascii="宋体" w:hAnsi="宋体" w:eastAsia="宋体" w:cs="宋体"/>
          <w:b/>
          <w:color w:val="auto"/>
          <w:spacing w:val="0"/>
          <w:highlight w:val="none"/>
        </w:rPr>
      </w:pPr>
      <w:r>
        <w:rPr>
          <w:rFonts w:hint="eastAsia" w:ascii="宋体" w:hAnsi="宋体" w:eastAsia="宋体" w:cs="宋体"/>
          <w:b/>
          <w:color w:val="auto"/>
          <w:spacing w:val="0"/>
          <w:kern w:val="2"/>
          <w:sz w:val="32"/>
          <w:szCs w:val="32"/>
          <w:highlight w:val="none"/>
        </w:rPr>
        <w:t xml:space="preserve">第二章 </w:t>
      </w:r>
      <w:r>
        <w:rPr>
          <w:rFonts w:hint="eastAsia" w:ascii="宋体" w:hAnsi="宋体" w:eastAsia="宋体" w:cs="宋体"/>
          <w:b/>
          <w:color w:val="auto"/>
          <w:spacing w:val="0"/>
          <w:kern w:val="2"/>
          <w:sz w:val="32"/>
          <w:szCs w:val="32"/>
          <w:highlight w:val="none"/>
          <w:lang w:eastAsia="zh-CN"/>
        </w:rPr>
        <w:t>投标人</w:t>
      </w:r>
      <w:r>
        <w:rPr>
          <w:rFonts w:hint="eastAsia" w:ascii="宋体" w:hAnsi="宋体" w:eastAsia="宋体" w:cs="宋体"/>
          <w:b/>
          <w:color w:val="auto"/>
          <w:spacing w:val="0"/>
          <w:kern w:val="2"/>
          <w:sz w:val="32"/>
          <w:szCs w:val="32"/>
          <w:highlight w:val="none"/>
        </w:rPr>
        <w:t>须知</w:t>
      </w:r>
      <w:bookmarkEnd w:id="6"/>
      <w:bookmarkEnd w:id="7"/>
      <w:bookmarkEnd w:id="8"/>
      <w:bookmarkEnd w:id="9"/>
      <w:bookmarkEnd w:id="10"/>
    </w:p>
    <w:p w14:paraId="40E1522A">
      <w:pPr>
        <w:pStyle w:val="16"/>
        <w:spacing w:before="0" w:beforeAutospacing="0" w:after="0" w:afterAutospacing="0"/>
        <w:jc w:val="both"/>
        <w:outlineLvl w:val="1"/>
        <w:rPr>
          <w:rFonts w:hint="eastAsia" w:ascii="宋体" w:hAnsi="宋体" w:eastAsia="宋体" w:cs="宋体"/>
          <w:b/>
          <w:color w:val="auto"/>
          <w:spacing w:val="0"/>
          <w:highlight w:val="none"/>
        </w:rPr>
      </w:pPr>
      <w:bookmarkStart w:id="11" w:name="_Toc27788"/>
      <w:r>
        <w:rPr>
          <w:rFonts w:hint="eastAsia" w:ascii="宋体" w:hAnsi="宋体" w:eastAsia="宋体" w:cs="宋体"/>
          <w:b/>
          <w:color w:val="auto"/>
          <w:spacing w:val="0"/>
          <w:kern w:val="2"/>
          <w:highlight w:val="none"/>
          <w:lang w:eastAsia="zh-CN"/>
        </w:rPr>
        <w:t>投标人</w:t>
      </w:r>
      <w:r>
        <w:rPr>
          <w:rFonts w:hint="eastAsia" w:ascii="宋体" w:hAnsi="宋体" w:eastAsia="宋体" w:cs="宋体"/>
          <w:b/>
          <w:color w:val="auto"/>
          <w:spacing w:val="0"/>
          <w:kern w:val="2"/>
          <w:highlight w:val="none"/>
        </w:rPr>
        <w:t>须知前附表</w:t>
      </w:r>
      <w:bookmarkEnd w:id="11"/>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290"/>
        <w:gridCol w:w="6882"/>
      </w:tblGrid>
      <w:tr w14:paraId="0A63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tblHeader/>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19409E96">
            <w:pPr>
              <w:spacing w:line="3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条款号</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3BC90A30">
            <w:pPr>
              <w:spacing w:line="3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条款名称</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5AACD2E9">
            <w:pPr>
              <w:spacing w:line="3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编列内容规定</w:t>
            </w:r>
          </w:p>
        </w:tc>
      </w:tr>
      <w:tr w14:paraId="1EC3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90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EF1155">
            <w:pPr>
              <w:spacing w:line="3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一、说明</w:t>
            </w:r>
          </w:p>
        </w:tc>
      </w:tr>
      <w:tr w14:paraId="670E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2E0EBD57">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44584DEF">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招募项目</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668AEC9A">
            <w:pPr>
              <w:adjustRightInd w:val="0"/>
              <w:snapToGrid w:val="0"/>
              <w:spacing w:line="30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湖南大数据交易所储能、充电桩项目运营服务</w:t>
            </w:r>
          </w:p>
        </w:tc>
      </w:tr>
      <w:tr w14:paraId="2747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123BDC90">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3A96731F">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招募人</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1BFFCE94">
            <w:pPr>
              <w:pStyle w:val="16"/>
              <w:adjustRightInd w:val="0"/>
              <w:snapToGrid w:val="0"/>
              <w:spacing w:before="0" w:beforeAutospacing="0" w:after="0" w:afterAutospacing="0" w:line="300" w:lineRule="exact"/>
              <w:jc w:val="both"/>
              <w:rPr>
                <w:rFonts w:hint="eastAsia" w:ascii="宋体" w:hAnsi="宋体" w:eastAsia="宋体" w:cs="宋体"/>
                <w:color w:val="auto"/>
                <w:spacing w:val="0"/>
                <w:sz w:val="21"/>
                <w:szCs w:val="21"/>
                <w:highlight w:val="none"/>
                <w:u w:val="none"/>
                <w:shd w:val="clear" w:color="auto" w:fill="FFFFFF"/>
                <w:lang w:eastAsia="zh-CN"/>
              </w:rPr>
            </w:pPr>
            <w:r>
              <w:rPr>
                <w:rFonts w:hint="eastAsia" w:ascii="宋体" w:hAnsi="宋体" w:eastAsia="宋体" w:cs="宋体"/>
                <w:color w:val="auto"/>
                <w:spacing w:val="0"/>
                <w:kern w:val="2"/>
                <w:sz w:val="21"/>
                <w:szCs w:val="21"/>
                <w:highlight w:val="none"/>
                <w:u w:val="none"/>
                <w:shd w:val="clear" w:color="auto" w:fill="FFFFFF"/>
              </w:rPr>
              <w:t>比 选 人：</w:t>
            </w:r>
            <w:r>
              <w:rPr>
                <w:rFonts w:hint="eastAsia" w:ascii="宋体" w:hAnsi="宋体" w:eastAsia="宋体" w:cs="宋体"/>
                <w:color w:val="auto"/>
                <w:sz w:val="21"/>
                <w:szCs w:val="21"/>
                <w:highlight w:val="none"/>
                <w:u w:val="none"/>
                <w:lang w:eastAsia="zh-CN"/>
              </w:rPr>
              <w:t>长沙融城经济发展集团有限公司</w:t>
            </w:r>
          </w:p>
          <w:p w14:paraId="7664F0A8">
            <w:pPr>
              <w:pStyle w:val="16"/>
              <w:adjustRightInd w:val="0"/>
              <w:snapToGrid w:val="0"/>
              <w:spacing w:before="0" w:beforeAutospacing="0" w:after="0" w:afterAutospacing="0" w:line="300" w:lineRule="exact"/>
              <w:jc w:val="both"/>
              <w:rPr>
                <w:rFonts w:hint="eastAsia" w:ascii="宋体" w:hAnsi="宋体" w:eastAsia="宋体" w:cs="宋体"/>
                <w:color w:val="auto"/>
                <w:spacing w:val="0"/>
                <w:sz w:val="21"/>
                <w:szCs w:val="21"/>
                <w:highlight w:val="none"/>
                <w:u w:val="none"/>
                <w:lang w:eastAsia="zh-CN"/>
              </w:rPr>
            </w:pPr>
            <w:r>
              <w:rPr>
                <w:rFonts w:hint="eastAsia" w:ascii="宋体" w:hAnsi="宋体" w:eastAsia="宋体" w:cs="宋体"/>
                <w:color w:val="auto"/>
                <w:spacing w:val="0"/>
                <w:kern w:val="2"/>
                <w:sz w:val="21"/>
                <w:szCs w:val="21"/>
                <w:highlight w:val="none"/>
                <w:u w:val="none"/>
                <w:shd w:val="clear" w:color="auto" w:fill="FFFFFF"/>
              </w:rPr>
              <w:t>地    址：</w:t>
            </w:r>
            <w:r>
              <w:rPr>
                <w:rFonts w:hint="eastAsia" w:ascii="宋体" w:hAnsi="宋体" w:eastAsia="宋体" w:cs="宋体"/>
                <w:color w:val="auto"/>
                <w:spacing w:val="0"/>
                <w:kern w:val="2"/>
                <w:sz w:val="21"/>
                <w:szCs w:val="21"/>
                <w:highlight w:val="none"/>
                <w:u w:val="none"/>
                <w:lang w:eastAsia="zh-CN"/>
              </w:rPr>
              <w:t>湖南省长沙市天心区南托街道暮南路405号</w:t>
            </w:r>
          </w:p>
          <w:p w14:paraId="5B99182E">
            <w:pPr>
              <w:pStyle w:val="16"/>
              <w:adjustRightInd w:val="0"/>
              <w:snapToGrid w:val="0"/>
              <w:spacing w:before="0" w:beforeAutospacing="0" w:after="0" w:afterAutospacing="0" w:line="300" w:lineRule="exact"/>
              <w:jc w:val="both"/>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联系人：</w:t>
            </w:r>
            <w:r>
              <w:rPr>
                <w:rFonts w:hint="eastAsia" w:ascii="宋体" w:hAnsi="宋体" w:cs="宋体"/>
                <w:color w:val="auto"/>
                <w:spacing w:val="0"/>
                <w:sz w:val="21"/>
                <w:szCs w:val="21"/>
                <w:highlight w:val="none"/>
                <w:u w:val="none"/>
                <w:lang w:val="en-US" w:eastAsia="zh-CN"/>
              </w:rPr>
              <w:t>贺蓉蓉</w:t>
            </w:r>
            <w:bookmarkStart w:id="55" w:name="_GoBack"/>
            <w:bookmarkEnd w:id="55"/>
          </w:p>
          <w:p w14:paraId="0023E74B">
            <w:pPr>
              <w:pStyle w:val="16"/>
              <w:adjustRightInd w:val="0"/>
              <w:snapToGrid w:val="0"/>
              <w:spacing w:before="0" w:beforeAutospacing="0" w:after="0" w:afterAutospacing="0" w:line="300" w:lineRule="exact"/>
              <w:jc w:val="both"/>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电  话：0731-86396615</w:t>
            </w:r>
          </w:p>
        </w:tc>
      </w:tr>
      <w:tr w14:paraId="2F88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2DFAE19A">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123C8C7C">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招募</w:t>
            </w:r>
            <w:r>
              <w:rPr>
                <w:rFonts w:hint="eastAsia" w:ascii="宋体" w:hAnsi="宋体" w:eastAsia="宋体" w:cs="宋体"/>
                <w:color w:val="auto"/>
                <w:sz w:val="21"/>
                <w:szCs w:val="21"/>
                <w:highlight w:val="none"/>
              </w:rPr>
              <w:t>代理机构</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7E0A4465">
            <w:pPr>
              <w:pStyle w:val="16"/>
              <w:adjustRightInd w:val="0"/>
              <w:snapToGrid w:val="0"/>
              <w:spacing w:before="0" w:beforeAutospacing="0" w:after="0" w:afterAutospacing="0" w:line="300" w:lineRule="exact"/>
              <w:jc w:val="both"/>
              <w:rPr>
                <w:rFonts w:hint="eastAsia" w:ascii="宋体" w:hAnsi="宋体" w:eastAsia="宋体" w:cs="宋体"/>
                <w:color w:val="auto"/>
                <w:spacing w:val="0"/>
                <w:sz w:val="21"/>
                <w:szCs w:val="21"/>
                <w:highlight w:val="none"/>
                <w:u w:val="none"/>
                <w:lang w:eastAsia="zh-CN"/>
              </w:rPr>
            </w:pPr>
            <w:r>
              <w:rPr>
                <w:rFonts w:hint="eastAsia" w:ascii="宋体" w:hAnsi="宋体" w:eastAsia="宋体" w:cs="宋体"/>
                <w:color w:val="auto"/>
                <w:spacing w:val="0"/>
                <w:kern w:val="2"/>
                <w:sz w:val="21"/>
                <w:szCs w:val="21"/>
                <w:highlight w:val="none"/>
                <w:u w:val="none"/>
                <w:lang w:eastAsia="zh-CN"/>
              </w:rPr>
              <w:t>招募代理机构</w:t>
            </w:r>
            <w:r>
              <w:rPr>
                <w:rFonts w:hint="eastAsia" w:ascii="宋体" w:hAnsi="宋体" w:eastAsia="宋体" w:cs="宋体"/>
                <w:color w:val="auto"/>
                <w:spacing w:val="0"/>
                <w:kern w:val="2"/>
                <w:sz w:val="21"/>
                <w:szCs w:val="21"/>
                <w:highlight w:val="none"/>
                <w:u w:val="none"/>
              </w:rPr>
              <w:t>：</w:t>
            </w:r>
            <w:r>
              <w:rPr>
                <w:rFonts w:hint="eastAsia" w:ascii="宋体" w:hAnsi="宋体" w:eastAsia="宋体" w:cs="宋体"/>
                <w:color w:val="auto"/>
                <w:spacing w:val="0"/>
                <w:kern w:val="2"/>
                <w:sz w:val="21"/>
                <w:szCs w:val="21"/>
                <w:highlight w:val="none"/>
                <w:u w:val="none"/>
                <w:lang w:eastAsia="zh-CN"/>
              </w:rPr>
              <w:t>中慧力祥项目管理有限公司</w:t>
            </w:r>
          </w:p>
          <w:p w14:paraId="208BA067">
            <w:pPr>
              <w:pStyle w:val="16"/>
              <w:adjustRightInd w:val="0"/>
              <w:snapToGrid w:val="0"/>
              <w:spacing w:before="0" w:beforeAutospacing="0" w:after="0" w:afterAutospacing="0" w:line="300" w:lineRule="exact"/>
              <w:jc w:val="both"/>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地  址：长沙市雨花区迎新路499号御溪国际1栋13楼1310房</w:t>
            </w:r>
          </w:p>
          <w:p w14:paraId="2D6274B3">
            <w:pPr>
              <w:pStyle w:val="16"/>
              <w:adjustRightInd w:val="0"/>
              <w:snapToGrid w:val="0"/>
              <w:spacing w:before="0" w:beforeAutospacing="0" w:after="0" w:afterAutospacing="0" w:line="300" w:lineRule="exact"/>
              <w:jc w:val="both"/>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联系人：黎贵兰、贺胜辉、梁巨权</w:t>
            </w:r>
          </w:p>
          <w:p w14:paraId="50967CBE">
            <w:pPr>
              <w:pStyle w:val="16"/>
              <w:adjustRightInd w:val="0"/>
              <w:snapToGrid w:val="0"/>
              <w:spacing w:before="0" w:beforeAutospacing="0" w:after="0" w:afterAutospacing="0" w:line="300" w:lineRule="exact"/>
              <w:jc w:val="both"/>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电  话：18674477059、15211177821</w:t>
            </w:r>
          </w:p>
        </w:tc>
      </w:tr>
      <w:tr w14:paraId="6E71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6D9A15FC">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6204D8C7">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投标人</w:t>
            </w:r>
            <w:r>
              <w:rPr>
                <w:rFonts w:hint="eastAsia" w:ascii="宋体" w:hAnsi="宋体" w:eastAsia="宋体" w:cs="宋体"/>
                <w:color w:val="auto"/>
                <w:sz w:val="21"/>
                <w:szCs w:val="21"/>
                <w:highlight w:val="none"/>
              </w:rPr>
              <w:t>资格条件</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0374E3BC">
            <w:pPr>
              <w:adjustRightInd w:val="0"/>
              <w:snapToGrid w:val="0"/>
              <w:spacing w:before="158" w:beforeLines="50"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w:t>
            </w:r>
            <w:r>
              <w:rPr>
                <w:rFonts w:hint="eastAsia" w:ascii="宋体" w:hAnsi="宋体" w:eastAsia="宋体" w:cs="宋体"/>
                <w:color w:val="auto"/>
                <w:sz w:val="21"/>
                <w:szCs w:val="21"/>
                <w:highlight w:val="none"/>
                <w:lang w:val="en-US" w:eastAsia="zh-CN"/>
              </w:rPr>
              <w:t>公开招募</w:t>
            </w:r>
            <w:r>
              <w:rPr>
                <w:rFonts w:hint="eastAsia" w:ascii="宋体" w:hAnsi="宋体" w:eastAsia="宋体" w:cs="宋体"/>
                <w:color w:val="auto"/>
                <w:sz w:val="21"/>
                <w:szCs w:val="21"/>
                <w:highlight w:val="none"/>
              </w:rPr>
              <w:t>比选</w:t>
            </w:r>
            <w:r>
              <w:rPr>
                <w:rFonts w:hint="eastAsia" w:ascii="宋体" w:hAnsi="宋体" w:eastAsia="宋体" w:cs="宋体"/>
                <w:color w:val="auto"/>
                <w:sz w:val="21"/>
                <w:szCs w:val="21"/>
                <w:highlight w:val="none"/>
                <w:lang w:val="en-US" w:eastAsia="zh-CN"/>
              </w:rPr>
              <w:t>公告</w:t>
            </w:r>
            <w:r>
              <w:rPr>
                <w:rFonts w:hint="eastAsia" w:ascii="宋体" w:hAnsi="宋体" w:eastAsia="宋体" w:cs="宋体"/>
                <w:color w:val="auto"/>
                <w:sz w:val="21"/>
                <w:szCs w:val="21"/>
                <w:highlight w:val="none"/>
              </w:rPr>
              <w:t>要求</w:t>
            </w:r>
          </w:p>
        </w:tc>
      </w:tr>
      <w:tr w14:paraId="444C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761EB844">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143E8E8D">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联合体形式</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3DC1B683">
            <w:pPr>
              <w:adjustRightInd w:val="0"/>
              <w:snapToGrid w:val="0"/>
              <w:spacing w:before="158" w:beforeLines="50" w:line="360" w:lineRule="exact"/>
              <w:rPr>
                <w:rFonts w:hint="eastAsia" w:ascii="宋体" w:hAnsi="宋体" w:eastAsia="宋体" w:cs="宋体"/>
                <w:color w:val="auto"/>
                <w:sz w:val="21"/>
                <w:szCs w:val="21"/>
                <w:highlight w:val="none"/>
              </w:rPr>
            </w:pPr>
            <w:r>
              <w:rPr>
                <w:rFonts w:hint="eastAsia" w:ascii="宋体" w:hAnsi="宋体" w:eastAsia="宋体" w:cs="宋体"/>
                <w:bCs/>
                <w:color w:val="auto"/>
                <w:spacing w:val="0"/>
                <w:sz w:val="21"/>
                <w:szCs w:val="21"/>
                <w:highlight w:val="none"/>
              </w:rPr>
              <w:sym w:font="Wingdings" w:char="00FE"/>
            </w:r>
            <w:r>
              <w:rPr>
                <w:rFonts w:hint="eastAsia" w:ascii="宋体" w:hAnsi="宋体" w:eastAsia="宋体" w:cs="宋体"/>
                <w:color w:val="auto"/>
                <w:sz w:val="21"/>
                <w:szCs w:val="21"/>
                <w:highlight w:val="none"/>
              </w:rPr>
              <w:t>不接受</w:t>
            </w:r>
          </w:p>
          <w:p w14:paraId="50E9CE66">
            <w:pPr>
              <w:adjustRightInd w:val="0"/>
              <w:snapToGrid w:val="0"/>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接受，对联合体各方的要求：</w:t>
            </w:r>
          </w:p>
        </w:tc>
      </w:tr>
      <w:tr w14:paraId="696A7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28A6B200">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22B6CA56">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现场勘察</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6554FCA7">
            <w:pPr>
              <w:adjustRightInd w:val="0"/>
              <w:snapToGrid w:val="0"/>
              <w:spacing w:line="300" w:lineRule="exact"/>
              <w:rPr>
                <w:rFonts w:hint="eastAsia" w:ascii="宋体" w:hAnsi="宋体" w:eastAsia="宋体" w:cs="宋体"/>
                <w:color w:val="auto"/>
                <w:sz w:val="21"/>
                <w:szCs w:val="21"/>
                <w:highlight w:val="none"/>
              </w:rPr>
            </w:pPr>
            <w:r>
              <w:rPr>
                <w:rFonts w:hint="eastAsia" w:ascii="宋体" w:hAnsi="宋体" w:eastAsia="宋体" w:cs="宋体"/>
                <w:bCs/>
                <w:color w:val="auto"/>
                <w:spacing w:val="0"/>
                <w:sz w:val="21"/>
                <w:szCs w:val="21"/>
                <w:highlight w:val="none"/>
              </w:rPr>
              <w:sym w:font="Wingdings" w:char="00FE"/>
            </w:r>
            <w:r>
              <w:rPr>
                <w:rFonts w:hint="eastAsia" w:ascii="宋体" w:hAnsi="宋体" w:eastAsia="宋体" w:cs="宋体"/>
                <w:color w:val="auto"/>
                <w:sz w:val="21"/>
                <w:szCs w:val="21"/>
                <w:highlight w:val="none"/>
                <w:lang w:eastAsia="zh-CN"/>
              </w:rPr>
              <w:t>招募人</w:t>
            </w:r>
            <w:r>
              <w:rPr>
                <w:rFonts w:hint="eastAsia" w:ascii="宋体" w:hAnsi="宋体" w:eastAsia="宋体" w:cs="宋体"/>
                <w:color w:val="auto"/>
                <w:sz w:val="21"/>
                <w:szCs w:val="21"/>
                <w:highlight w:val="none"/>
              </w:rPr>
              <w:t>不组织</w:t>
            </w:r>
          </w:p>
          <w:p w14:paraId="093EA01D">
            <w:pPr>
              <w:adjustRightInd w:val="0"/>
              <w:snapToGrid w:val="0"/>
              <w:spacing w:line="300" w:lineRule="exact"/>
              <w:rPr>
                <w:rFonts w:hint="eastAsia" w:ascii="宋体" w:hAnsi="宋体" w:eastAsia="宋体" w:cs="宋体"/>
                <w:color w:val="auto"/>
                <w:sz w:val="21"/>
                <w:szCs w:val="21"/>
                <w:highlight w:val="none"/>
              </w:rPr>
            </w:pPr>
            <w:r>
              <w:rPr>
                <w:rFonts w:hint="eastAsia" w:ascii="宋体" w:hAnsi="宋体" w:eastAsia="宋体" w:cs="宋体"/>
                <w:bCs/>
                <w:color w:val="auto"/>
                <w:spacing w:val="0"/>
                <w:sz w:val="21"/>
                <w:szCs w:val="21"/>
                <w:highlight w:val="none"/>
              </w:rPr>
              <w:sym w:font="Wingdings" w:char="00A8"/>
            </w:r>
            <w:r>
              <w:rPr>
                <w:rFonts w:hint="eastAsia" w:ascii="宋体" w:hAnsi="宋体" w:eastAsia="宋体" w:cs="宋体"/>
                <w:color w:val="auto"/>
                <w:sz w:val="21"/>
                <w:szCs w:val="21"/>
                <w:highlight w:val="none"/>
                <w:lang w:eastAsia="zh-CN"/>
              </w:rPr>
              <w:t>招募人</w:t>
            </w:r>
            <w:r>
              <w:rPr>
                <w:rFonts w:hint="eastAsia" w:ascii="宋体" w:hAnsi="宋体" w:eastAsia="宋体" w:cs="宋体"/>
                <w:color w:val="auto"/>
                <w:sz w:val="21"/>
                <w:szCs w:val="21"/>
                <w:highlight w:val="none"/>
              </w:rPr>
              <w:t>组织，时间：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p>
        </w:tc>
      </w:tr>
      <w:tr w14:paraId="6000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90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7C452C2">
            <w:pPr>
              <w:adjustRightInd w:val="0"/>
              <w:snapToGrid w:val="0"/>
              <w:spacing w:line="3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二、比选文件</w:t>
            </w:r>
          </w:p>
        </w:tc>
      </w:tr>
      <w:tr w14:paraId="5681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5B7F8A9A">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48416B1B">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比选文件的可能实质性变动内容</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7970DEB1">
            <w:pPr>
              <w:pStyle w:val="16"/>
              <w:spacing w:before="0" w:beforeAutospacing="0" w:after="120" w:afterAutospacing="0"/>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比选文件的实质性变动内容为比选文件的组成部分，实质性变动内容与比选文件不一致时，以实质性变动内容为准。</w:t>
            </w:r>
          </w:p>
        </w:tc>
      </w:tr>
      <w:tr w14:paraId="22B9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0649B79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7188870C">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比选文件的提供期限</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1E4095F6">
            <w:pPr>
              <w:adjustRightInd w:val="0"/>
              <w:snapToGrid w:val="0"/>
              <w:spacing w:line="300" w:lineRule="exact"/>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从</w:t>
            </w:r>
            <w:r>
              <w:rPr>
                <w:rFonts w:hint="eastAsia" w:ascii="宋体" w:hAnsi="宋体" w:eastAsia="宋体" w:cs="宋体"/>
                <w:sz w:val="21"/>
                <w:szCs w:val="21"/>
                <w:highlight w:val="none"/>
                <w:u w:val="single"/>
                <w:lang w:val="en-US" w:eastAsia="zh-CN"/>
              </w:rPr>
              <w:t>2025</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lang w:val="en-US" w:eastAsia="zh-CN"/>
              </w:rPr>
              <w:t xml:space="preserve"> 11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lang w:val="en-US" w:eastAsia="zh-CN"/>
              </w:rPr>
              <w:t xml:space="preserve"> 3 </w:t>
            </w:r>
            <w:r>
              <w:rPr>
                <w:rFonts w:hint="eastAsia" w:ascii="宋体" w:hAnsi="宋体" w:eastAsia="宋体" w:cs="宋体"/>
                <w:sz w:val="21"/>
                <w:szCs w:val="21"/>
                <w:highlight w:val="none"/>
              </w:rPr>
              <w:t>日至</w:t>
            </w:r>
            <w:r>
              <w:rPr>
                <w:rFonts w:hint="eastAsia" w:ascii="宋体" w:hAnsi="宋体" w:eastAsia="宋体" w:cs="宋体"/>
                <w:sz w:val="21"/>
                <w:szCs w:val="21"/>
                <w:highlight w:val="none"/>
                <w:u w:val="single"/>
                <w:lang w:val="en-US" w:eastAsia="zh-CN"/>
              </w:rPr>
              <w:t>2025</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lang w:val="en-US" w:eastAsia="zh-CN"/>
              </w:rPr>
              <w:t xml:space="preserve"> 11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lang w:val="en-US" w:eastAsia="zh-CN"/>
              </w:rPr>
              <w:t xml:space="preserve"> 10 </w:t>
            </w:r>
            <w:r>
              <w:rPr>
                <w:rFonts w:hint="eastAsia" w:ascii="宋体" w:hAnsi="宋体" w:eastAsia="宋体" w:cs="宋体"/>
                <w:sz w:val="21"/>
                <w:szCs w:val="21"/>
                <w:highlight w:val="none"/>
              </w:rPr>
              <w:t>日</w:t>
            </w:r>
            <w:r>
              <w:rPr>
                <w:rFonts w:hint="eastAsia" w:ascii="宋体" w:hAnsi="宋体" w:eastAsia="宋体" w:cs="宋体"/>
                <w:sz w:val="21"/>
                <w:szCs w:val="21"/>
                <w:highlight w:val="none"/>
                <w:u w:val="single"/>
              </w:rPr>
              <w:t>17</w:t>
            </w:r>
            <w:r>
              <w:rPr>
                <w:rFonts w:hint="eastAsia" w:ascii="宋体" w:hAnsi="宋体" w:eastAsia="宋体" w:cs="宋体"/>
                <w:sz w:val="21"/>
                <w:szCs w:val="21"/>
                <w:highlight w:val="none"/>
              </w:rPr>
              <w:t>时</w:t>
            </w:r>
            <w:r>
              <w:rPr>
                <w:rFonts w:hint="eastAsia" w:ascii="宋体" w:hAnsi="宋体" w:eastAsia="宋体" w:cs="宋体"/>
                <w:sz w:val="21"/>
                <w:szCs w:val="21"/>
                <w:highlight w:val="none"/>
                <w:u w:val="single"/>
              </w:rPr>
              <w:t>00</w:t>
            </w:r>
            <w:r>
              <w:rPr>
                <w:rFonts w:hint="eastAsia" w:ascii="宋体" w:hAnsi="宋体" w:eastAsia="宋体" w:cs="宋体"/>
                <w:sz w:val="21"/>
                <w:szCs w:val="21"/>
                <w:highlight w:val="none"/>
              </w:rPr>
              <w:t>分止</w:t>
            </w:r>
            <w:r>
              <w:rPr>
                <w:rFonts w:hint="eastAsia" w:ascii="宋体" w:hAnsi="宋体" w:eastAsia="宋体" w:cs="宋体"/>
                <w:color w:val="auto"/>
                <w:kern w:val="0"/>
                <w:sz w:val="21"/>
                <w:szCs w:val="21"/>
                <w:highlight w:val="none"/>
              </w:rPr>
              <w:t>(北京时间)</w:t>
            </w:r>
          </w:p>
        </w:tc>
      </w:tr>
      <w:tr w14:paraId="0751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2D17945E">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9</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777C2D82">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提交</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的截止时间</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4DDD9DE9">
            <w:pPr>
              <w:adjustRightInd w:val="0"/>
              <w:snapToGrid w:val="0"/>
              <w:spacing w:line="30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val="en-US" w:eastAsia="zh-CN"/>
              </w:rPr>
              <w:t>2025</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lang w:val="en-US" w:eastAsia="zh-CN"/>
              </w:rPr>
              <w:t xml:space="preserve"> 11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lang w:val="en-US" w:eastAsia="zh-CN"/>
              </w:rPr>
              <w:t xml:space="preserve"> 14 </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u w:val="single"/>
                <w:lang w:val="en-US" w:eastAsia="zh-CN"/>
              </w:rPr>
              <w:t>09</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u w:val="single"/>
                <w:lang w:val="en-US" w:eastAsia="zh-CN"/>
              </w:rPr>
              <w:t>30</w:t>
            </w:r>
            <w:r>
              <w:rPr>
                <w:rFonts w:hint="eastAsia" w:ascii="宋体" w:hAnsi="宋体" w:eastAsia="宋体" w:cs="宋体"/>
                <w:color w:val="auto"/>
                <w:sz w:val="21"/>
                <w:szCs w:val="21"/>
                <w:highlight w:val="none"/>
              </w:rPr>
              <w:t>分 (北京时间)</w:t>
            </w:r>
          </w:p>
        </w:tc>
      </w:tr>
      <w:tr w14:paraId="3DE9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33821AFD">
            <w:pPr>
              <w:adjustRightInd w:val="0"/>
              <w:snapToGrid w:val="0"/>
              <w:spacing w:line="30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4FB08319">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澄清和修改比选文件的方式</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2A1D52B1">
            <w:pPr>
              <w:adjustRightInd w:val="0"/>
              <w:snapToGrid w:val="0"/>
              <w:spacing w:line="300" w:lineRule="exact"/>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书面形式，通过邮件发送</w:t>
            </w:r>
            <w:r>
              <w:rPr>
                <w:rFonts w:hint="eastAsia" w:ascii="宋体" w:hAnsi="宋体" w:eastAsia="宋体" w:cs="宋体"/>
                <w:color w:val="auto"/>
                <w:sz w:val="21"/>
                <w:szCs w:val="21"/>
                <w:highlight w:val="none"/>
              </w:rPr>
              <w:t>。</w:t>
            </w:r>
          </w:p>
        </w:tc>
      </w:tr>
      <w:tr w14:paraId="2004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90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A63E11A">
            <w:pPr>
              <w:adjustRightInd w:val="0"/>
              <w:snapToGrid w:val="0"/>
              <w:spacing w:line="300" w:lineRule="exac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三、</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的编写</w:t>
            </w:r>
          </w:p>
        </w:tc>
      </w:tr>
      <w:tr w14:paraId="706B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5BF6DDE1">
            <w:pPr>
              <w:adjustRightInd w:val="0"/>
              <w:snapToGrid w:val="0"/>
              <w:spacing w:line="30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756252DF">
            <w:pPr>
              <w:adjustRightInd w:val="0"/>
              <w:snapToGrid w:val="0"/>
              <w:spacing w:line="300" w:lineRule="exac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投标报价</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6803664B">
            <w:pPr>
              <w:adjustRightInd w:val="0"/>
              <w:snapToGrid w:val="0"/>
              <w:spacing w:line="30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本项目以“投标人收益分成比例（%）”作为评审报价，报价保留小数点后两位。</w:t>
            </w:r>
          </w:p>
        </w:tc>
      </w:tr>
      <w:tr w14:paraId="701B5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25FCAE6D">
            <w:pPr>
              <w:adjustRightInd w:val="0"/>
              <w:snapToGrid w:val="0"/>
              <w:spacing w:line="30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3833F0F2">
            <w:pPr>
              <w:adjustRightInd w:val="0"/>
              <w:snapToGrid w:val="0"/>
              <w:spacing w:line="300" w:lineRule="exact"/>
              <w:ind w:left="-533" w:leftChars="-254" w:firstLine="533" w:firstLineChars="25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投标保证金</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769007D2">
            <w:pPr>
              <w:adjustRightInd w:val="0"/>
              <w:snapToGrid w:val="0"/>
              <w:spacing w:before="158" w:beforeLines="50" w:line="300" w:lineRule="exact"/>
              <w:rPr>
                <w:rFonts w:hint="eastAsia" w:ascii="宋体" w:hAnsi="宋体" w:eastAsia="宋体" w:cs="宋体"/>
                <w:color w:val="auto"/>
                <w:sz w:val="21"/>
                <w:szCs w:val="21"/>
                <w:highlight w:val="none"/>
              </w:rPr>
            </w:pPr>
            <w:r>
              <w:rPr>
                <w:rFonts w:hint="eastAsia" w:ascii="宋体" w:hAnsi="宋体" w:eastAsia="宋体" w:cs="宋体"/>
                <w:bCs/>
                <w:color w:val="auto"/>
                <w:spacing w:val="0"/>
                <w:sz w:val="21"/>
                <w:szCs w:val="21"/>
                <w:highlight w:val="none"/>
              </w:rPr>
              <w:sym w:font="Wingdings" w:char="00FE"/>
            </w:r>
            <w:r>
              <w:rPr>
                <w:rFonts w:hint="eastAsia" w:ascii="宋体" w:hAnsi="宋体" w:eastAsia="宋体" w:cs="宋体"/>
                <w:color w:val="auto"/>
                <w:sz w:val="21"/>
                <w:szCs w:val="21"/>
                <w:highlight w:val="none"/>
              </w:rPr>
              <w:t>不要求提供</w:t>
            </w:r>
          </w:p>
          <w:p w14:paraId="7B6385D4">
            <w:pPr>
              <w:adjustRightInd w:val="0"/>
              <w:snapToGrid w:val="0"/>
              <w:spacing w:before="158" w:beforeLines="50"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要求提供：</w:t>
            </w:r>
          </w:p>
          <w:p w14:paraId="574852C1">
            <w:pPr>
              <w:spacing w:line="300" w:lineRule="exac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color w:val="auto"/>
                <w:sz w:val="21"/>
                <w:szCs w:val="21"/>
                <w:highlight w:val="none"/>
              </w:rPr>
              <w:t>保证金数额：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元(人民币)</w:t>
            </w:r>
          </w:p>
          <w:p w14:paraId="5B69D533">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2、缴纳方式：以现金或支票、汇票、本票等形式缴入如下账户，查询已经到账，视为已缴纳。</w:t>
            </w:r>
          </w:p>
          <w:p w14:paraId="7134CC77">
            <w:pPr>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保证金汇至：</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 xml:space="preserve"> </w:t>
            </w:r>
          </w:p>
          <w:p w14:paraId="75B556B3">
            <w:pPr>
              <w:spacing w:line="30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开 户 行： </w:t>
            </w:r>
            <w:r>
              <w:rPr>
                <w:rFonts w:hint="eastAsia" w:ascii="宋体" w:hAnsi="宋体" w:eastAsia="宋体" w:cs="宋体"/>
                <w:color w:val="auto"/>
                <w:sz w:val="21"/>
                <w:szCs w:val="21"/>
                <w:highlight w:val="none"/>
                <w:lang w:val="en-US" w:eastAsia="zh-CN"/>
              </w:rPr>
              <w:t>/</w:t>
            </w:r>
          </w:p>
          <w:p w14:paraId="24445E07">
            <w:pPr>
              <w:spacing w:line="30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银行帐号： </w:t>
            </w:r>
            <w:r>
              <w:rPr>
                <w:rFonts w:hint="eastAsia" w:ascii="宋体" w:hAnsi="宋体" w:eastAsia="宋体" w:cs="宋体"/>
                <w:color w:val="auto"/>
                <w:sz w:val="21"/>
                <w:szCs w:val="21"/>
                <w:highlight w:val="none"/>
                <w:lang w:val="en-US" w:eastAsia="zh-CN"/>
              </w:rPr>
              <w:t>/</w:t>
            </w:r>
          </w:p>
        </w:tc>
      </w:tr>
      <w:tr w14:paraId="7584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559FF5F8">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263B2BF7">
            <w:pPr>
              <w:adjustRightInd w:val="0"/>
              <w:snapToGrid w:val="0"/>
              <w:spacing w:line="30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投标文件</w:t>
            </w:r>
            <w:r>
              <w:rPr>
                <w:rFonts w:hint="eastAsia" w:ascii="宋体" w:hAnsi="宋体" w:eastAsia="宋体" w:cs="宋体"/>
                <w:bCs/>
                <w:color w:val="auto"/>
                <w:sz w:val="21"/>
                <w:szCs w:val="21"/>
                <w:highlight w:val="none"/>
              </w:rPr>
              <w:t>有效期</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57B14F5D">
            <w:pPr>
              <w:adjustRightInd w:val="0"/>
              <w:snapToGrid w:val="0"/>
              <w:spacing w:line="300" w:lineRule="exac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自提交</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截止之日</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90</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日（日历日）</w:t>
            </w:r>
          </w:p>
        </w:tc>
      </w:tr>
      <w:tr w14:paraId="0CAA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5333E655">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45AE506F">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投标文件</w:t>
            </w:r>
            <w:r>
              <w:rPr>
                <w:rFonts w:hint="eastAsia" w:ascii="宋体" w:hAnsi="宋体" w:eastAsia="宋体" w:cs="宋体"/>
                <w:color w:val="auto"/>
                <w:sz w:val="21"/>
                <w:szCs w:val="21"/>
                <w:highlight w:val="none"/>
              </w:rPr>
              <w:t>份数</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69FB08E7">
            <w:pPr>
              <w:adjustRightInd w:val="0"/>
              <w:snapToGrid w:val="0"/>
              <w:spacing w:line="300" w:lineRule="exact"/>
              <w:rPr>
                <w:rFonts w:hint="eastAsia" w:ascii="宋体" w:hAnsi="宋体" w:eastAsia="宋体" w:cs="宋体"/>
                <w:b/>
                <w:color w:val="auto"/>
                <w:sz w:val="21"/>
                <w:szCs w:val="21"/>
                <w:highlight w:val="none"/>
              </w:rPr>
            </w:pPr>
            <w:r>
              <w:rPr>
                <w:rFonts w:hint="eastAsia" w:ascii="宋体" w:hAnsi="宋体" w:eastAsia="宋体" w:cs="宋体"/>
                <w:color w:val="auto"/>
                <w:highlight w:val="none"/>
                <w:u w:val="none"/>
                <w:vertAlign w:val="baseline"/>
                <w:lang w:val="en-US" w:eastAsia="zh-CN"/>
              </w:rPr>
              <w:t>正本：壹份，副本：肆份，电子文件：壹份。副本可为正本复印件，正副本均可双面打印，投标文件须装订成册；</w:t>
            </w:r>
            <w:r>
              <w:rPr>
                <w:rFonts w:hint="eastAsia" w:ascii="宋体" w:hAnsi="宋体" w:eastAsia="宋体" w:cs="宋体"/>
                <w:b/>
                <w:bCs/>
                <w:color w:val="auto"/>
                <w:highlight w:val="none"/>
                <w:u w:val="none"/>
                <w:vertAlign w:val="baseline"/>
                <w:lang w:val="en-US" w:eastAsia="zh-CN"/>
              </w:rPr>
              <w:t>投标人须递交与正本内容一致的电子文件（U盘装）壹份</w:t>
            </w:r>
            <w:r>
              <w:rPr>
                <w:rFonts w:hint="eastAsia" w:ascii="宋体" w:hAnsi="宋体" w:eastAsia="宋体" w:cs="宋体"/>
                <w:color w:val="auto"/>
                <w:highlight w:val="none"/>
                <w:u w:val="none"/>
                <w:vertAlign w:val="baseline"/>
                <w:lang w:val="en-US" w:eastAsia="zh-CN"/>
              </w:rPr>
              <w:t>；正本和副本的封面上应标记“正本”或“副本”的字样，当正本和副本有差异时，以正本为准。</w:t>
            </w:r>
          </w:p>
        </w:tc>
      </w:tr>
      <w:tr w14:paraId="1CE6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90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4D300DB">
            <w:pPr>
              <w:adjustRightInd w:val="0"/>
              <w:snapToGrid w:val="0"/>
              <w:spacing w:line="300" w:lineRule="exac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四、</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的递交</w:t>
            </w:r>
          </w:p>
        </w:tc>
      </w:tr>
      <w:tr w14:paraId="19C4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0578A905">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2C32C3B0">
            <w:pPr>
              <w:adjustRightInd w:val="0"/>
              <w:snapToGrid w:val="0"/>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封套上应载明的信息</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43E09F33">
            <w:pPr>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highlight w:val="none"/>
                <w:vertAlign w:val="baseline"/>
              </w:rPr>
            </w:pPr>
            <w:r>
              <w:rPr>
                <w:rFonts w:hint="eastAsia" w:ascii="宋体" w:hAnsi="宋体" w:eastAsia="宋体" w:cs="宋体"/>
                <w:color w:val="auto"/>
                <w:highlight w:val="none"/>
                <w:u w:val="single"/>
                <w:vertAlign w:val="baseline"/>
                <w:lang w:val="en-US" w:eastAsia="zh-CN"/>
              </w:rPr>
              <w:t xml:space="preserve">                             </w:t>
            </w:r>
            <w:r>
              <w:rPr>
                <w:rFonts w:hint="eastAsia" w:ascii="宋体" w:hAnsi="宋体" w:eastAsia="宋体" w:cs="宋体"/>
                <w:color w:val="auto"/>
                <w:highlight w:val="none"/>
                <w:vertAlign w:val="baseline"/>
                <w:lang w:eastAsia="zh-CN"/>
              </w:rPr>
              <w:t>项目投标文件</w:t>
            </w:r>
            <w:r>
              <w:rPr>
                <w:rFonts w:hint="eastAsia" w:ascii="宋体" w:hAnsi="宋体" w:eastAsia="宋体" w:cs="宋体"/>
                <w:color w:val="auto"/>
                <w:highlight w:val="none"/>
                <w:vertAlign w:val="baseline"/>
              </w:rPr>
              <w:t xml:space="preserve">                                </w:t>
            </w:r>
          </w:p>
          <w:p w14:paraId="1BCD1F24">
            <w:pPr>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highlight w:val="none"/>
                <w:u w:val="single"/>
                <w:vertAlign w:val="baseline"/>
                <w:lang w:val="en-US"/>
              </w:rPr>
            </w:pPr>
            <w:r>
              <w:rPr>
                <w:rFonts w:hint="eastAsia" w:ascii="宋体" w:hAnsi="宋体" w:eastAsia="宋体" w:cs="宋体"/>
                <w:color w:val="auto"/>
                <w:sz w:val="21"/>
                <w:szCs w:val="21"/>
                <w:highlight w:val="none"/>
                <w:lang w:val="en-US" w:eastAsia="zh-CN"/>
              </w:rPr>
              <w:t>招募</w:t>
            </w:r>
            <w:r>
              <w:rPr>
                <w:rFonts w:hint="eastAsia" w:ascii="宋体" w:hAnsi="宋体" w:eastAsia="宋体" w:cs="宋体"/>
                <w:color w:val="auto"/>
                <w:sz w:val="21"/>
                <w:szCs w:val="21"/>
                <w:highlight w:val="none"/>
              </w:rPr>
              <w:t>编号：</w:t>
            </w:r>
            <w:r>
              <w:rPr>
                <w:rFonts w:hint="eastAsia" w:ascii="宋体" w:hAnsi="宋体" w:eastAsia="宋体" w:cs="宋体"/>
                <w:color w:val="auto"/>
                <w:kern w:val="2"/>
                <w:sz w:val="21"/>
                <w:szCs w:val="21"/>
                <w:highlight w:val="none"/>
                <w:u w:val="single"/>
                <w:lang w:val="en-US" w:eastAsia="zh-CN"/>
              </w:rPr>
              <w:t xml:space="preserve">          </w:t>
            </w:r>
          </w:p>
          <w:p w14:paraId="7350A99D">
            <w:pPr>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highlight w:val="none"/>
                <w:vertAlign w:val="baseline"/>
              </w:rPr>
            </w:pPr>
            <w:r>
              <w:rPr>
                <w:rFonts w:hint="eastAsia" w:ascii="宋体" w:hAnsi="宋体" w:eastAsia="宋体" w:cs="宋体"/>
                <w:color w:val="auto"/>
                <w:highlight w:val="none"/>
                <w:vertAlign w:val="baseline"/>
                <w:lang w:eastAsia="zh-CN"/>
              </w:rPr>
              <w:t>投标人</w:t>
            </w:r>
            <w:r>
              <w:rPr>
                <w:rFonts w:hint="eastAsia" w:ascii="宋体" w:hAnsi="宋体" w:eastAsia="宋体" w:cs="宋体"/>
                <w:color w:val="auto"/>
                <w:highlight w:val="none"/>
                <w:vertAlign w:val="baseline"/>
              </w:rPr>
              <w:t>名称：</w:t>
            </w:r>
            <w:r>
              <w:rPr>
                <w:rFonts w:hint="eastAsia" w:ascii="宋体" w:hAnsi="宋体" w:eastAsia="宋体" w:cs="宋体"/>
                <w:color w:val="auto"/>
                <w:highlight w:val="none"/>
                <w:u w:val="single"/>
                <w:vertAlign w:val="baseline"/>
                <w:lang w:val="en-US" w:eastAsia="zh-CN"/>
              </w:rPr>
              <w:t xml:space="preserve">                  </w:t>
            </w:r>
            <w:r>
              <w:rPr>
                <w:rFonts w:hint="eastAsia" w:ascii="宋体" w:hAnsi="宋体" w:eastAsia="宋体" w:cs="宋体"/>
                <w:color w:val="auto"/>
                <w:highlight w:val="none"/>
                <w:vertAlign w:val="baseline"/>
              </w:rPr>
              <w:t xml:space="preserve">                    </w:t>
            </w:r>
          </w:p>
          <w:p w14:paraId="16C612A5">
            <w:pPr>
              <w:adjustRightInd w:val="0"/>
              <w:snapToGrid w:val="0"/>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highlight w:val="none"/>
                <w:vertAlign w:val="baseline"/>
              </w:rPr>
              <w:t>在</w:t>
            </w:r>
            <w:r>
              <w:rPr>
                <w:rFonts w:hint="eastAsia" w:ascii="宋体" w:hAnsi="宋体" w:eastAsia="宋体" w:cs="宋体"/>
                <w:color w:val="auto"/>
                <w:highlight w:val="none"/>
                <w:u w:val="single"/>
                <w:vertAlign w:val="baseline"/>
                <w:lang w:val="en-US" w:eastAsia="zh-CN"/>
              </w:rPr>
              <w:t xml:space="preserve">    </w:t>
            </w:r>
            <w:r>
              <w:rPr>
                <w:rFonts w:hint="eastAsia" w:ascii="宋体" w:hAnsi="宋体" w:eastAsia="宋体" w:cs="宋体"/>
                <w:color w:val="auto"/>
                <w:highlight w:val="none"/>
                <w:vertAlign w:val="baseline"/>
              </w:rPr>
              <w:t>年</w:t>
            </w:r>
            <w:r>
              <w:rPr>
                <w:rFonts w:hint="eastAsia" w:ascii="宋体" w:hAnsi="宋体" w:eastAsia="宋体" w:cs="宋体"/>
                <w:color w:val="auto"/>
                <w:highlight w:val="none"/>
                <w:u w:val="single"/>
                <w:vertAlign w:val="baseline"/>
              </w:rPr>
              <w:t xml:space="preserve">  </w:t>
            </w:r>
            <w:r>
              <w:rPr>
                <w:rFonts w:hint="eastAsia" w:ascii="宋体" w:hAnsi="宋体" w:eastAsia="宋体" w:cs="宋体"/>
                <w:color w:val="auto"/>
                <w:highlight w:val="none"/>
                <w:vertAlign w:val="baseline"/>
              </w:rPr>
              <w:t>月</w:t>
            </w:r>
            <w:r>
              <w:rPr>
                <w:rFonts w:hint="eastAsia" w:ascii="宋体" w:hAnsi="宋体" w:eastAsia="宋体" w:cs="宋体"/>
                <w:color w:val="auto"/>
                <w:highlight w:val="none"/>
                <w:u w:val="single"/>
                <w:vertAlign w:val="baseline"/>
              </w:rPr>
              <w:t xml:space="preserve">  </w:t>
            </w:r>
            <w:r>
              <w:rPr>
                <w:rFonts w:hint="eastAsia" w:ascii="宋体" w:hAnsi="宋体" w:eastAsia="宋体" w:cs="宋体"/>
                <w:color w:val="auto"/>
                <w:highlight w:val="none"/>
                <w:vertAlign w:val="baseline"/>
              </w:rPr>
              <w:t>日（星期</w:t>
            </w:r>
            <w:r>
              <w:rPr>
                <w:rFonts w:hint="eastAsia" w:ascii="宋体" w:hAnsi="宋体" w:eastAsia="宋体" w:cs="宋体"/>
                <w:color w:val="auto"/>
                <w:highlight w:val="none"/>
                <w:u w:val="single"/>
                <w:vertAlign w:val="baseline"/>
              </w:rPr>
              <w:t xml:space="preserve">  </w:t>
            </w:r>
            <w:r>
              <w:rPr>
                <w:rFonts w:hint="eastAsia" w:ascii="宋体" w:hAnsi="宋体" w:eastAsia="宋体" w:cs="宋体"/>
                <w:color w:val="auto"/>
                <w:highlight w:val="none"/>
                <w:vertAlign w:val="baseline"/>
              </w:rPr>
              <w:t>）</w:t>
            </w:r>
            <w:r>
              <w:rPr>
                <w:rFonts w:hint="eastAsia" w:ascii="宋体" w:hAnsi="宋体" w:eastAsia="宋体" w:cs="宋体"/>
                <w:color w:val="auto"/>
                <w:highlight w:val="none"/>
                <w:u w:val="single"/>
                <w:vertAlign w:val="baseline"/>
              </w:rPr>
              <w:t xml:space="preserve">  </w:t>
            </w:r>
            <w:r>
              <w:rPr>
                <w:rFonts w:hint="eastAsia" w:ascii="宋体" w:hAnsi="宋体" w:eastAsia="宋体" w:cs="宋体"/>
                <w:color w:val="auto"/>
                <w:highlight w:val="none"/>
                <w:vertAlign w:val="baseline"/>
              </w:rPr>
              <w:t>时</w:t>
            </w:r>
            <w:r>
              <w:rPr>
                <w:rFonts w:hint="eastAsia" w:ascii="宋体" w:hAnsi="宋体" w:eastAsia="宋体" w:cs="宋体"/>
                <w:color w:val="auto"/>
                <w:highlight w:val="none"/>
                <w:u w:val="single"/>
                <w:vertAlign w:val="baseline"/>
              </w:rPr>
              <w:t xml:space="preserve">  </w:t>
            </w:r>
            <w:r>
              <w:rPr>
                <w:rFonts w:hint="eastAsia" w:ascii="宋体" w:hAnsi="宋体" w:eastAsia="宋体" w:cs="宋体"/>
                <w:color w:val="auto"/>
                <w:highlight w:val="none"/>
                <w:vertAlign w:val="baseline"/>
              </w:rPr>
              <w:t>分之前不得启封</w:t>
            </w:r>
          </w:p>
        </w:tc>
      </w:tr>
      <w:tr w14:paraId="4396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676BF2EA">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03FD35C3">
            <w:pPr>
              <w:adjustRightInd w:val="0"/>
              <w:snapToGrid w:val="0"/>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的递交地点</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62FD1337">
            <w:pPr>
              <w:adjustRightInd w:val="0"/>
              <w:snapToGrid w:val="0"/>
              <w:spacing w:line="300" w:lineRule="exact"/>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u w:val="none"/>
                <w:lang w:eastAsia="zh-CN"/>
              </w:rPr>
              <w:t>融发集团会议室（湖南省长沙市天心区南托街道暮南路405号）</w:t>
            </w:r>
          </w:p>
        </w:tc>
      </w:tr>
      <w:tr w14:paraId="511D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90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8DE96A7">
            <w:pPr>
              <w:adjustRightInd w:val="0"/>
              <w:snapToGrid w:val="0"/>
              <w:spacing w:line="300" w:lineRule="exac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五、</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的评审</w:t>
            </w:r>
          </w:p>
        </w:tc>
      </w:tr>
      <w:tr w14:paraId="2C1E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0B49B41F">
            <w:pPr>
              <w:adjustRightInd w:val="0"/>
              <w:snapToGrid w:val="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1AA2BB23">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评审因素和标准</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682A1F5F">
            <w:pPr>
              <w:adjustRightInd w:val="0"/>
              <w:snapToGrid w:val="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见第三章评审办法及标准</w:t>
            </w:r>
          </w:p>
        </w:tc>
      </w:tr>
      <w:tr w14:paraId="0813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90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09B7807">
            <w:pPr>
              <w:adjustRightInd w:val="0"/>
              <w:snapToGrid w:val="0"/>
              <w:spacing w:line="3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六、成交结果信息公布与</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质疑</w:t>
            </w:r>
          </w:p>
        </w:tc>
      </w:tr>
      <w:tr w14:paraId="2FBB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09973603">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8</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60F170FE">
            <w:pPr>
              <w:adjustRightInd w:val="0"/>
              <w:snapToGrid w:val="0"/>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指定的媒体</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63270C8B">
            <w:pPr>
              <w:adjustRightInd w:val="0"/>
              <w:snapToGrid w:val="0"/>
              <w:spacing w:line="3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eastAsia="zh-CN"/>
              </w:rPr>
              <w:t>长沙融城经济发展集团有限公司官网  http://www.csrfjt.com/</w:t>
            </w:r>
          </w:p>
        </w:tc>
      </w:tr>
      <w:tr w14:paraId="2A63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46E14422">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50944252">
            <w:pPr>
              <w:adjustRightInd w:val="0"/>
              <w:snapToGrid w:val="0"/>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履约担保</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49522779">
            <w:pPr>
              <w:adjustRightInd w:val="0"/>
              <w:snapToGrid w:val="0"/>
              <w:spacing w:before="158" w:beforeLines="50" w:line="300" w:lineRule="exact"/>
              <w:rPr>
                <w:rFonts w:hint="eastAsia" w:ascii="宋体" w:hAnsi="宋体" w:eastAsia="宋体" w:cs="宋体"/>
                <w:color w:val="auto"/>
                <w:sz w:val="21"/>
                <w:szCs w:val="21"/>
                <w:highlight w:val="none"/>
              </w:rPr>
            </w:pPr>
            <w:r>
              <w:rPr>
                <w:rFonts w:hint="eastAsia" w:ascii="宋体" w:hAnsi="宋体" w:eastAsia="宋体" w:cs="宋体"/>
                <w:bCs/>
                <w:color w:val="auto"/>
                <w:spacing w:val="0"/>
                <w:sz w:val="21"/>
                <w:szCs w:val="21"/>
                <w:highlight w:val="none"/>
              </w:rPr>
              <w:sym w:font="Wingdings" w:char="00FE"/>
            </w:r>
            <w:r>
              <w:rPr>
                <w:rFonts w:hint="eastAsia" w:ascii="宋体" w:hAnsi="宋体" w:eastAsia="宋体" w:cs="宋体"/>
                <w:color w:val="auto"/>
                <w:sz w:val="21"/>
                <w:szCs w:val="21"/>
                <w:highlight w:val="none"/>
              </w:rPr>
              <w:t>不要求提供</w:t>
            </w:r>
          </w:p>
          <w:p w14:paraId="34287CC5">
            <w:pPr>
              <w:adjustRightInd w:val="0"/>
              <w:snapToGrid w:val="0"/>
              <w:spacing w:line="300" w:lineRule="exact"/>
              <w:rPr>
                <w:rFonts w:hint="eastAsia" w:ascii="宋体" w:hAnsi="宋体" w:eastAsia="宋体" w:cs="宋体"/>
                <w:color w:val="auto"/>
                <w:sz w:val="21"/>
                <w:szCs w:val="21"/>
                <w:highlight w:val="none"/>
              </w:rPr>
            </w:pPr>
            <w:r>
              <w:rPr>
                <w:rFonts w:hint="eastAsia" w:ascii="宋体" w:hAnsi="宋体" w:eastAsia="宋体" w:cs="宋体"/>
                <w:bCs/>
                <w:color w:val="auto"/>
                <w:spacing w:val="0"/>
                <w:sz w:val="21"/>
                <w:szCs w:val="21"/>
                <w:highlight w:val="none"/>
              </w:rPr>
              <w:sym w:font="Wingdings" w:char="00A8"/>
            </w:r>
            <w:r>
              <w:rPr>
                <w:rFonts w:hint="eastAsia" w:ascii="宋体" w:hAnsi="宋体" w:eastAsia="宋体" w:cs="宋体"/>
                <w:color w:val="auto"/>
                <w:sz w:val="21"/>
                <w:szCs w:val="21"/>
                <w:highlight w:val="none"/>
              </w:rPr>
              <w:t>要求提供，履约担保的金额为：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 xml:space="preserve"> </w:t>
            </w:r>
          </w:p>
        </w:tc>
      </w:tr>
      <w:tr w14:paraId="2F67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90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A2D3122">
            <w:pPr>
              <w:adjustRightInd w:val="0"/>
              <w:snapToGrid w:val="0"/>
              <w:spacing w:line="3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七、其他规定</w:t>
            </w:r>
          </w:p>
        </w:tc>
      </w:tr>
      <w:tr w14:paraId="504A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7908501C">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48CC7FC1">
            <w:pPr>
              <w:adjustRightInd w:val="0"/>
              <w:snapToGrid w:val="0"/>
              <w:spacing w:line="3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招募</w:t>
            </w:r>
            <w:r>
              <w:rPr>
                <w:rFonts w:hint="eastAsia" w:ascii="宋体" w:hAnsi="宋体" w:eastAsia="宋体" w:cs="宋体"/>
                <w:color w:val="auto"/>
                <w:sz w:val="21"/>
                <w:szCs w:val="21"/>
                <w:highlight w:val="none"/>
              </w:rPr>
              <w:t>代理服务费</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2978A19A">
            <w:pPr>
              <w:adjustRightInd w:val="0"/>
              <w:snapToGrid w:val="0"/>
              <w:rPr>
                <w:rFonts w:hint="eastAsia" w:ascii="宋体" w:hAnsi="宋体" w:eastAsia="宋体" w:cs="宋体"/>
                <w:color w:val="auto"/>
                <w:sz w:val="21"/>
                <w:szCs w:val="21"/>
                <w:highlight w:val="none"/>
                <w:u w:val="single"/>
              </w:rPr>
            </w:pPr>
            <w:r>
              <w:rPr>
                <w:rFonts w:hint="eastAsia" w:ascii="宋体" w:hAnsi="宋体" w:eastAsia="宋体" w:cs="宋体"/>
                <w:color w:val="auto"/>
                <w:highlight w:val="none"/>
                <w:vertAlign w:val="baseline"/>
              </w:rPr>
              <w:t>本项目代理服务费</w:t>
            </w:r>
            <w:r>
              <w:rPr>
                <w:rFonts w:hint="eastAsia" w:ascii="宋体" w:hAnsi="宋体" w:eastAsia="宋体" w:cs="宋体"/>
                <w:color w:val="auto"/>
                <w:highlight w:val="none"/>
                <w:vertAlign w:val="baseline"/>
                <w:lang w:val="en-US" w:eastAsia="zh-CN"/>
              </w:rPr>
              <w:t>15000</w:t>
            </w:r>
            <w:r>
              <w:rPr>
                <w:rFonts w:hint="eastAsia" w:ascii="宋体" w:hAnsi="宋体" w:eastAsia="宋体" w:cs="宋体"/>
                <w:color w:val="auto"/>
                <w:highlight w:val="none"/>
                <w:vertAlign w:val="baseline"/>
              </w:rPr>
              <w:t>元，由</w:t>
            </w:r>
            <w:r>
              <w:rPr>
                <w:rFonts w:hint="eastAsia" w:ascii="宋体" w:hAnsi="宋体" w:eastAsia="宋体" w:cs="宋体"/>
                <w:color w:val="auto"/>
                <w:highlight w:val="none"/>
                <w:vertAlign w:val="baseline"/>
                <w:lang w:eastAsia="zh-CN"/>
              </w:rPr>
              <w:t>招募人</w:t>
            </w:r>
            <w:r>
              <w:rPr>
                <w:rFonts w:hint="eastAsia" w:ascii="宋体" w:hAnsi="宋体" w:eastAsia="宋体" w:cs="宋体"/>
                <w:color w:val="auto"/>
                <w:highlight w:val="none"/>
                <w:vertAlign w:val="baseline"/>
              </w:rPr>
              <w:t>向代理机构支付。</w:t>
            </w:r>
          </w:p>
        </w:tc>
      </w:tr>
      <w:tr w14:paraId="40DB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540FAAF9">
            <w:pPr>
              <w:spacing w:line="30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13C2498C">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签字和（或）盖章要求</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7DDFF040">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应当由法定代表人（或其委托代理人）签名（或加盖印章），并加盖</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单位公章。</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加盖的单位公章与其营业执照的单位名称应当一致。</w:t>
            </w:r>
          </w:p>
        </w:tc>
      </w:tr>
      <w:tr w14:paraId="4E43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 w:hRule="atLeast"/>
          <w:jc w:val="center"/>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70BB1E5C">
            <w:pPr>
              <w:spacing w:line="30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1290" w:type="dxa"/>
            <w:tcBorders>
              <w:top w:val="single" w:color="auto" w:sz="4" w:space="0"/>
              <w:left w:val="single" w:color="auto" w:sz="4" w:space="0"/>
              <w:bottom w:val="single" w:color="auto" w:sz="4" w:space="0"/>
              <w:right w:val="single" w:color="auto" w:sz="4" w:space="0"/>
            </w:tcBorders>
            <w:shd w:val="clear" w:color="auto" w:fill="auto"/>
            <w:vAlign w:val="center"/>
          </w:tcPr>
          <w:p w14:paraId="37F3287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6882" w:type="dxa"/>
            <w:tcBorders>
              <w:top w:val="single" w:color="auto" w:sz="4" w:space="0"/>
              <w:left w:val="single" w:color="auto" w:sz="4" w:space="0"/>
              <w:bottom w:val="single" w:color="auto" w:sz="4" w:space="0"/>
              <w:right w:val="single" w:color="auto" w:sz="4" w:space="0"/>
            </w:tcBorders>
            <w:shd w:val="clear" w:color="auto" w:fill="auto"/>
            <w:vAlign w:val="center"/>
          </w:tcPr>
          <w:p w14:paraId="127CA950">
            <w:pPr>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本项目参照</w:t>
            </w:r>
            <w:r>
              <w:rPr>
                <w:rFonts w:hint="eastAsia" w:ascii="宋体" w:hAnsi="宋体" w:eastAsia="宋体" w:cs="宋体"/>
                <w:color w:val="auto"/>
                <w:sz w:val="21"/>
                <w:szCs w:val="21"/>
                <w:highlight w:val="none"/>
                <w:vertAlign w:val="baseline"/>
              </w:rPr>
              <w:t>《湖南省财政厅关于做好政府采购有关信用主体标识码登记及在政府采购活动中查询使用信用记录有关问题的通知》湘财购[2017]2号文要求，对列入</w:t>
            </w:r>
            <w:r>
              <w:rPr>
                <w:rFonts w:hint="eastAsia" w:ascii="宋体" w:hAnsi="宋体" w:eastAsia="宋体" w:cs="宋体"/>
                <w:b/>
                <w:bCs/>
                <w:i w:val="0"/>
                <w:iCs w:val="0"/>
                <w:color w:val="auto"/>
                <w:sz w:val="21"/>
                <w:szCs w:val="21"/>
                <w:highlight w:val="none"/>
                <w:vertAlign w:val="baseline"/>
              </w:rPr>
              <w:t>失信被执行人、重大税收违法案件当事人名单、政府采购严重违法失信行为记录名单</w:t>
            </w:r>
            <w:r>
              <w:rPr>
                <w:rFonts w:hint="eastAsia" w:ascii="宋体" w:hAnsi="宋体" w:eastAsia="宋体" w:cs="宋体"/>
                <w:i w:val="0"/>
                <w:iCs w:val="0"/>
                <w:color w:val="auto"/>
                <w:sz w:val="21"/>
                <w:szCs w:val="21"/>
                <w:highlight w:val="none"/>
                <w:vertAlign w:val="baseline"/>
              </w:rPr>
              <w:t>及</w:t>
            </w:r>
            <w:r>
              <w:rPr>
                <w:rFonts w:hint="eastAsia" w:ascii="宋体" w:hAnsi="宋体" w:eastAsia="宋体" w:cs="宋体"/>
                <w:color w:val="auto"/>
                <w:sz w:val="21"/>
                <w:szCs w:val="21"/>
                <w:highlight w:val="none"/>
                <w:vertAlign w:val="baseline"/>
              </w:rPr>
              <w:t>其他不符合《中华人民共和国政府采购法》第二十二条规定条件的供应商，应当拒绝其参与政府采购活动。</w:t>
            </w:r>
          </w:p>
          <w:p w14:paraId="2D21B6E0">
            <w:pPr>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11A80ED">
            <w:pPr>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1. 信用信息查询的查询渠道：“信用中国”网站（www.creditchina.gov.cn）、中国政府采购网（www.ccgp.gov.cn）。</w:t>
            </w:r>
          </w:p>
          <w:p w14:paraId="5BC2E3F2">
            <w:pPr>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2. 信用信息查询的截止时点：至本项目首次响应文件的提交截止时间止。</w:t>
            </w:r>
          </w:p>
          <w:p w14:paraId="3BBE3594">
            <w:pPr>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3. 信用信息查询记录的具体方式：由采购人或采购代理机构在规定的查询渠道进行查询。</w:t>
            </w:r>
          </w:p>
          <w:p w14:paraId="477699B1">
            <w:pPr>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4. 信用信息查询记录证据留存的具体方式：查询记录的网上打印件。</w:t>
            </w:r>
          </w:p>
          <w:p w14:paraId="42AF4267">
            <w:pPr>
              <w:pStyle w:val="16"/>
              <w:spacing w:before="0" w:beforeAutospacing="0" w:after="120" w:afterAutospacing="0" w:line="400" w:lineRule="exact"/>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30"/>
                <w:kern w:val="0"/>
                <w:sz w:val="21"/>
                <w:szCs w:val="21"/>
                <w:highlight w:val="none"/>
                <w:vertAlign w:val="baseline"/>
                <w:lang w:val="en-US" w:eastAsia="zh-CN" w:bidi="ar-SA"/>
              </w:rPr>
              <w:t>信用信息的使用规则：留存备查。</w:t>
            </w:r>
          </w:p>
        </w:tc>
      </w:tr>
    </w:tbl>
    <w:p w14:paraId="4E64B895">
      <w:pPr>
        <w:spacing w:line="360" w:lineRule="auto"/>
        <w:rPr>
          <w:rFonts w:hint="eastAsia" w:ascii="宋体" w:hAnsi="宋体" w:eastAsia="宋体" w:cs="宋体"/>
          <w:b/>
          <w:color w:val="auto"/>
          <w:szCs w:val="21"/>
          <w:highlight w:val="none"/>
        </w:rPr>
        <w:sectPr>
          <w:pgSz w:w="11906" w:h="16838"/>
          <w:pgMar w:top="1417" w:right="1417" w:bottom="1417" w:left="1417" w:header="850" w:footer="850" w:gutter="0"/>
          <w:pgNumType w:fmt="decimal"/>
          <w:cols w:space="0" w:num="1"/>
          <w:rtlGutter w:val="0"/>
          <w:docGrid w:type="linesAndChars" w:linePitch="318" w:charSpace="0"/>
        </w:sectPr>
      </w:pPr>
    </w:p>
    <w:p w14:paraId="2F0D46E0">
      <w:pPr>
        <w:pStyle w:val="16"/>
        <w:spacing w:before="0" w:beforeAutospacing="0" w:after="0" w:afterAutospacing="0"/>
        <w:ind w:firstLine="640" w:firstLineChars="200"/>
        <w:jc w:val="center"/>
        <w:outlineLvl w:val="1"/>
        <w:rPr>
          <w:rFonts w:hint="eastAsia" w:ascii="宋体" w:hAnsi="宋体" w:eastAsia="宋体" w:cs="宋体"/>
          <w:b/>
          <w:color w:val="auto"/>
          <w:spacing w:val="0"/>
          <w:sz w:val="32"/>
          <w:szCs w:val="32"/>
          <w:highlight w:val="none"/>
        </w:rPr>
      </w:pPr>
      <w:bookmarkStart w:id="12" w:name="_Toc18390"/>
      <w:r>
        <w:rPr>
          <w:rFonts w:hint="eastAsia" w:ascii="宋体" w:hAnsi="宋体" w:eastAsia="宋体" w:cs="宋体"/>
          <w:b/>
          <w:color w:val="auto"/>
          <w:spacing w:val="0"/>
          <w:kern w:val="2"/>
          <w:sz w:val="32"/>
          <w:szCs w:val="32"/>
          <w:highlight w:val="none"/>
          <w:lang w:eastAsia="zh-CN"/>
        </w:rPr>
        <w:t>投标人</w:t>
      </w:r>
      <w:r>
        <w:rPr>
          <w:rFonts w:hint="eastAsia" w:ascii="宋体" w:hAnsi="宋体" w:eastAsia="宋体" w:cs="宋体"/>
          <w:b/>
          <w:color w:val="auto"/>
          <w:spacing w:val="0"/>
          <w:kern w:val="2"/>
          <w:sz w:val="32"/>
          <w:szCs w:val="32"/>
          <w:highlight w:val="none"/>
        </w:rPr>
        <w:t>须知正文</w:t>
      </w:r>
      <w:bookmarkEnd w:id="12"/>
    </w:p>
    <w:p w14:paraId="4A04AD24">
      <w:pPr>
        <w:keepNext w:val="0"/>
        <w:keepLines w:val="0"/>
        <w:pageBreakBefore w:val="0"/>
        <w:kinsoku/>
        <w:overflowPunct/>
        <w:topLinePunct w:val="0"/>
        <w:autoSpaceDE/>
        <w:bidi w:val="0"/>
        <w:adjustRightInd w:val="0"/>
        <w:snapToGrid w:val="0"/>
        <w:spacing w:line="312" w:lineRule="auto"/>
        <w:ind w:left="0" w:right="0" w:rightChars="0"/>
        <w:jc w:val="left"/>
        <w:textAlignment w:val="auto"/>
        <w:outlineLvl w:val="1"/>
        <w:rPr>
          <w:rFonts w:hint="eastAsia" w:ascii="宋体" w:hAnsi="宋体" w:eastAsia="宋体" w:cs="宋体"/>
          <w:b/>
          <w:color w:val="auto"/>
          <w:sz w:val="21"/>
          <w:szCs w:val="21"/>
          <w:highlight w:val="none"/>
        </w:rPr>
      </w:pPr>
      <w:bookmarkStart w:id="13" w:name="_Toc18453"/>
      <w:r>
        <w:rPr>
          <w:rFonts w:hint="eastAsia" w:ascii="宋体" w:hAnsi="宋体" w:eastAsia="宋体" w:cs="宋体"/>
          <w:b/>
          <w:color w:val="auto"/>
          <w:sz w:val="21"/>
          <w:szCs w:val="21"/>
          <w:highlight w:val="none"/>
        </w:rPr>
        <w:t>一、说明</w:t>
      </w:r>
      <w:bookmarkEnd w:id="13"/>
    </w:p>
    <w:p w14:paraId="625F4ED6">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1.适用范围</w:t>
      </w:r>
    </w:p>
    <w:p w14:paraId="75E0C46B">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本比选文件仅适用于</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须知前附表(以下简称</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须知前附表)</w:t>
      </w:r>
      <w:r>
        <w:rPr>
          <w:rFonts w:hint="eastAsia" w:ascii="宋体" w:hAnsi="宋体" w:eastAsia="宋体" w:cs="宋体"/>
          <w:color w:val="auto"/>
          <w:sz w:val="21"/>
          <w:szCs w:val="21"/>
          <w:highlight w:val="none"/>
        </w:rPr>
        <w:t>中所叙述的</w:t>
      </w:r>
      <w:r>
        <w:rPr>
          <w:rFonts w:hint="eastAsia" w:ascii="宋体" w:hAnsi="宋体" w:eastAsia="宋体" w:cs="宋体"/>
          <w:color w:val="auto"/>
          <w:sz w:val="21"/>
          <w:szCs w:val="21"/>
          <w:highlight w:val="none"/>
          <w:lang w:eastAsia="zh-CN"/>
        </w:rPr>
        <w:t>招募项目</w:t>
      </w:r>
      <w:r>
        <w:rPr>
          <w:rFonts w:hint="eastAsia" w:ascii="宋体" w:hAnsi="宋体" w:eastAsia="宋体" w:cs="宋体"/>
          <w:color w:val="auto"/>
          <w:sz w:val="21"/>
          <w:szCs w:val="21"/>
          <w:highlight w:val="none"/>
        </w:rPr>
        <w:t>。</w:t>
      </w:r>
    </w:p>
    <w:p w14:paraId="24834BF1">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2.定义</w:t>
      </w:r>
    </w:p>
    <w:p w14:paraId="440DCE10">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2.1 “</w:t>
      </w:r>
      <w:r>
        <w:rPr>
          <w:rFonts w:hint="eastAsia" w:ascii="宋体" w:hAnsi="宋体" w:eastAsia="宋体" w:cs="宋体"/>
          <w:color w:val="auto"/>
          <w:sz w:val="21"/>
          <w:szCs w:val="21"/>
          <w:highlight w:val="none"/>
          <w:lang w:eastAsia="zh-CN"/>
        </w:rPr>
        <w:t>招募人</w:t>
      </w:r>
      <w:r>
        <w:rPr>
          <w:rFonts w:hint="eastAsia" w:ascii="宋体" w:hAnsi="宋体" w:eastAsia="宋体" w:cs="宋体"/>
          <w:color w:val="auto"/>
          <w:sz w:val="21"/>
          <w:szCs w:val="21"/>
          <w:highlight w:val="none"/>
        </w:rPr>
        <w:t>”是指依法进行</w:t>
      </w:r>
      <w:r>
        <w:rPr>
          <w:rFonts w:hint="eastAsia" w:ascii="宋体" w:hAnsi="宋体" w:eastAsia="宋体" w:cs="宋体"/>
          <w:color w:val="auto"/>
          <w:sz w:val="21"/>
          <w:szCs w:val="21"/>
          <w:highlight w:val="none"/>
          <w:lang w:val="en-US" w:eastAsia="zh-CN"/>
        </w:rPr>
        <w:t>招募</w:t>
      </w:r>
      <w:r>
        <w:rPr>
          <w:rFonts w:hint="eastAsia" w:ascii="宋体" w:hAnsi="宋体" w:eastAsia="宋体" w:cs="宋体"/>
          <w:color w:val="auto"/>
          <w:sz w:val="21"/>
          <w:szCs w:val="21"/>
          <w:highlight w:val="none"/>
        </w:rPr>
        <w:t>的单位。本次</w:t>
      </w:r>
      <w:r>
        <w:rPr>
          <w:rFonts w:hint="eastAsia" w:ascii="宋体" w:hAnsi="宋体" w:eastAsia="宋体" w:cs="宋体"/>
          <w:color w:val="auto"/>
          <w:sz w:val="21"/>
          <w:szCs w:val="21"/>
          <w:highlight w:val="none"/>
          <w:lang w:val="en-US" w:eastAsia="zh-CN"/>
        </w:rPr>
        <w:t>招募</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招募人</w:t>
      </w:r>
      <w:r>
        <w:rPr>
          <w:rFonts w:hint="eastAsia" w:ascii="宋体" w:hAnsi="宋体" w:eastAsia="宋体" w:cs="宋体"/>
          <w:color w:val="auto"/>
          <w:sz w:val="21"/>
          <w:szCs w:val="21"/>
          <w:highlight w:val="none"/>
        </w:rPr>
        <w:t>名称、地址、电话、联系人见</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须知前附表</w:t>
      </w:r>
      <w:r>
        <w:rPr>
          <w:rFonts w:hint="eastAsia" w:ascii="宋体" w:hAnsi="宋体" w:eastAsia="宋体" w:cs="宋体"/>
          <w:color w:val="auto"/>
          <w:sz w:val="21"/>
          <w:szCs w:val="21"/>
          <w:highlight w:val="none"/>
        </w:rPr>
        <w:t>。</w:t>
      </w:r>
    </w:p>
    <w:p w14:paraId="3CCC44D7">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2.2 “</w:t>
      </w:r>
      <w:r>
        <w:rPr>
          <w:rFonts w:hint="eastAsia" w:ascii="宋体" w:hAnsi="宋体" w:eastAsia="宋体" w:cs="宋体"/>
          <w:color w:val="auto"/>
          <w:sz w:val="21"/>
          <w:szCs w:val="21"/>
          <w:highlight w:val="none"/>
          <w:lang w:eastAsia="zh-CN"/>
        </w:rPr>
        <w:t>招募代理机构</w:t>
      </w:r>
      <w:r>
        <w:rPr>
          <w:rFonts w:hint="eastAsia" w:ascii="宋体" w:hAnsi="宋体" w:eastAsia="宋体" w:cs="宋体"/>
          <w:color w:val="auto"/>
          <w:sz w:val="21"/>
          <w:szCs w:val="21"/>
          <w:highlight w:val="none"/>
        </w:rPr>
        <w:t>”是指接受</w:t>
      </w:r>
      <w:r>
        <w:rPr>
          <w:rFonts w:hint="eastAsia" w:ascii="宋体" w:hAnsi="宋体" w:eastAsia="宋体" w:cs="宋体"/>
          <w:color w:val="auto"/>
          <w:sz w:val="21"/>
          <w:szCs w:val="21"/>
          <w:highlight w:val="none"/>
          <w:lang w:eastAsia="zh-CN"/>
        </w:rPr>
        <w:t>招募人</w:t>
      </w:r>
      <w:r>
        <w:rPr>
          <w:rFonts w:hint="eastAsia" w:ascii="宋体" w:hAnsi="宋体" w:eastAsia="宋体" w:cs="宋体"/>
          <w:color w:val="auto"/>
          <w:sz w:val="21"/>
          <w:szCs w:val="21"/>
          <w:highlight w:val="none"/>
        </w:rPr>
        <w:t>委托，代理</w:t>
      </w:r>
      <w:r>
        <w:rPr>
          <w:rFonts w:hint="eastAsia" w:ascii="宋体" w:hAnsi="宋体" w:eastAsia="宋体" w:cs="宋体"/>
          <w:color w:val="auto"/>
          <w:sz w:val="21"/>
          <w:szCs w:val="21"/>
          <w:highlight w:val="none"/>
          <w:lang w:eastAsia="zh-CN"/>
        </w:rPr>
        <w:t>招募项目</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招募代理机构</w:t>
      </w:r>
      <w:r>
        <w:rPr>
          <w:rFonts w:hint="eastAsia" w:ascii="宋体" w:hAnsi="宋体" w:eastAsia="宋体" w:cs="宋体"/>
          <w:color w:val="auto"/>
          <w:sz w:val="21"/>
          <w:szCs w:val="21"/>
          <w:highlight w:val="none"/>
        </w:rPr>
        <w:t>。本次采购的</w:t>
      </w:r>
      <w:r>
        <w:rPr>
          <w:rFonts w:hint="eastAsia" w:ascii="宋体" w:hAnsi="宋体" w:eastAsia="宋体" w:cs="宋体"/>
          <w:color w:val="auto"/>
          <w:sz w:val="21"/>
          <w:szCs w:val="21"/>
          <w:highlight w:val="none"/>
          <w:lang w:eastAsia="zh-CN"/>
        </w:rPr>
        <w:t>招募代理机构</w:t>
      </w:r>
      <w:r>
        <w:rPr>
          <w:rFonts w:hint="eastAsia" w:ascii="宋体" w:hAnsi="宋体" w:eastAsia="宋体" w:cs="宋体"/>
          <w:color w:val="auto"/>
          <w:sz w:val="21"/>
          <w:szCs w:val="21"/>
          <w:highlight w:val="none"/>
        </w:rPr>
        <w:t>名称、地址、电话、联系人见</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须知前附表。</w:t>
      </w:r>
    </w:p>
    <w:p w14:paraId="7E2DD342">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bCs/>
          <w:color w:val="auto"/>
          <w:kern w:val="36"/>
          <w:sz w:val="21"/>
          <w:szCs w:val="21"/>
          <w:highlight w:val="none"/>
        </w:rPr>
      </w:pPr>
      <w:r>
        <w:rPr>
          <w:rFonts w:hint="eastAsia" w:ascii="宋体" w:hAnsi="宋体" w:eastAsia="宋体" w:cs="宋体"/>
          <w:color w:val="auto"/>
          <w:sz w:val="21"/>
          <w:szCs w:val="21"/>
          <w:highlight w:val="none"/>
        </w:rPr>
        <w:t>2.3 “</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”是指响应比选文件要求、参加</w:t>
      </w:r>
      <w:r>
        <w:rPr>
          <w:rFonts w:hint="eastAsia" w:ascii="宋体" w:hAnsi="宋体" w:eastAsia="宋体" w:cs="宋体"/>
          <w:color w:val="auto"/>
          <w:sz w:val="21"/>
          <w:szCs w:val="21"/>
          <w:highlight w:val="none"/>
          <w:lang w:eastAsia="zh-CN"/>
        </w:rPr>
        <w:t>比选招募</w:t>
      </w:r>
      <w:r>
        <w:rPr>
          <w:rFonts w:hint="eastAsia" w:ascii="宋体" w:hAnsi="宋体" w:eastAsia="宋体" w:cs="宋体"/>
          <w:color w:val="auto"/>
          <w:sz w:val="21"/>
          <w:szCs w:val="21"/>
          <w:highlight w:val="none"/>
        </w:rPr>
        <w:t>的法人、其他组织。本次</w:t>
      </w:r>
      <w:r>
        <w:rPr>
          <w:rFonts w:hint="eastAsia" w:ascii="宋体" w:hAnsi="宋体" w:eastAsia="宋体" w:cs="宋体"/>
          <w:color w:val="auto"/>
          <w:sz w:val="21"/>
          <w:szCs w:val="21"/>
          <w:highlight w:val="none"/>
          <w:lang w:eastAsia="zh-CN"/>
        </w:rPr>
        <w:t>招募项目</w:t>
      </w:r>
      <w:r>
        <w:rPr>
          <w:rFonts w:hint="eastAsia" w:ascii="宋体" w:hAnsi="宋体" w:eastAsia="宋体" w:cs="宋体"/>
          <w:color w:val="auto"/>
          <w:kern w:val="0"/>
          <w:sz w:val="21"/>
          <w:szCs w:val="21"/>
          <w:highlight w:val="none"/>
        </w:rPr>
        <w:t>邀请</w:t>
      </w:r>
      <w:r>
        <w:rPr>
          <w:rFonts w:hint="eastAsia" w:ascii="宋体" w:hAnsi="宋体" w:eastAsia="宋体" w:cs="宋体"/>
          <w:color w:val="auto"/>
          <w:sz w:val="21"/>
          <w:szCs w:val="21"/>
          <w:highlight w:val="none"/>
        </w:rPr>
        <w:t>的</w:t>
      </w:r>
      <w:r>
        <w:rPr>
          <w:rFonts w:hint="eastAsia" w:ascii="宋体" w:hAnsi="宋体" w:eastAsia="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通过</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须知前附表</w:t>
      </w:r>
      <w:r>
        <w:rPr>
          <w:rFonts w:hint="eastAsia" w:ascii="宋体" w:hAnsi="宋体" w:eastAsia="宋体" w:cs="宋体"/>
          <w:color w:val="auto"/>
          <w:sz w:val="21"/>
          <w:szCs w:val="21"/>
          <w:highlight w:val="none"/>
        </w:rPr>
        <w:t>所述方式，</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应持</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须知前附表</w:t>
      </w:r>
      <w:r>
        <w:rPr>
          <w:rFonts w:hint="eastAsia" w:ascii="宋体" w:hAnsi="宋体" w:eastAsia="宋体" w:cs="宋体"/>
          <w:color w:val="auto"/>
          <w:sz w:val="21"/>
          <w:szCs w:val="21"/>
          <w:highlight w:val="none"/>
        </w:rPr>
        <w:t>规定的资料领取或购买比选文件。</w:t>
      </w:r>
    </w:p>
    <w:p w14:paraId="7EFCF1B3">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2.4 “评标委员会”是指</w:t>
      </w:r>
      <w:r>
        <w:rPr>
          <w:rFonts w:hint="eastAsia" w:ascii="宋体" w:hAnsi="宋体" w:eastAsia="宋体" w:cs="宋体"/>
          <w:color w:val="auto"/>
          <w:kern w:val="0"/>
          <w:sz w:val="21"/>
          <w:szCs w:val="21"/>
          <w:highlight w:val="none"/>
        </w:rPr>
        <w:t>参照</w:t>
      </w:r>
      <w:r>
        <w:rPr>
          <w:rFonts w:hint="eastAsia" w:ascii="宋体" w:hAnsi="宋体" w:eastAsia="宋体" w:cs="宋体"/>
          <w:bCs/>
          <w:color w:val="auto"/>
          <w:kern w:val="36"/>
          <w:sz w:val="21"/>
          <w:szCs w:val="21"/>
          <w:highlight w:val="none"/>
        </w:rPr>
        <w:t>有关规定组建，依法依规</w:t>
      </w:r>
      <w:r>
        <w:rPr>
          <w:rFonts w:hint="eastAsia" w:ascii="宋体" w:hAnsi="宋体" w:eastAsia="宋体" w:cs="宋体"/>
          <w:color w:val="auto"/>
          <w:kern w:val="0"/>
          <w:sz w:val="21"/>
          <w:szCs w:val="21"/>
          <w:highlight w:val="none"/>
        </w:rPr>
        <w:t>履行其职责和义务的</w:t>
      </w:r>
      <w:r>
        <w:rPr>
          <w:rFonts w:hint="eastAsia" w:ascii="宋体" w:hAnsi="宋体" w:eastAsia="宋体" w:cs="宋体"/>
          <w:color w:val="auto"/>
          <w:kern w:val="0"/>
          <w:sz w:val="21"/>
          <w:szCs w:val="21"/>
          <w:highlight w:val="none"/>
          <w:lang w:val="en-US" w:eastAsia="zh-CN"/>
        </w:rPr>
        <w:t>机构</w:t>
      </w:r>
      <w:r>
        <w:rPr>
          <w:rFonts w:hint="eastAsia" w:ascii="宋体" w:hAnsi="宋体" w:eastAsia="宋体" w:cs="宋体"/>
          <w:color w:val="auto"/>
          <w:kern w:val="0"/>
          <w:sz w:val="21"/>
          <w:szCs w:val="21"/>
          <w:highlight w:val="none"/>
        </w:rPr>
        <w:t>。</w:t>
      </w:r>
    </w:p>
    <w:p w14:paraId="471A032F">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 “货物”是指各种形态和种类的物品，包括原材料、燃料、设备、产品等。</w:t>
      </w:r>
    </w:p>
    <w:p w14:paraId="01296362">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 “工程”是指建设工程，包括建筑物和构筑物的新建、改建、扩建、装修、拆除、修缮等。</w:t>
      </w:r>
    </w:p>
    <w:p w14:paraId="44B4209B">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 “服务”是指除货物和工程以外的其他采购对象。</w:t>
      </w:r>
    </w:p>
    <w:p w14:paraId="07C907BE">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的资格要求</w:t>
      </w:r>
    </w:p>
    <w:p w14:paraId="22651098">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3.1 </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应当符合</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须知前附表</w:t>
      </w:r>
      <w:r>
        <w:rPr>
          <w:rFonts w:hint="eastAsia" w:ascii="宋体" w:hAnsi="宋体" w:eastAsia="宋体" w:cs="宋体"/>
          <w:color w:val="auto"/>
          <w:sz w:val="21"/>
          <w:szCs w:val="21"/>
          <w:highlight w:val="none"/>
        </w:rPr>
        <w:t>中规定的下列资格条件要求；</w:t>
      </w:r>
    </w:p>
    <w:p w14:paraId="4BF962E9">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（l）</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须知前附表</w:t>
      </w:r>
      <w:r>
        <w:rPr>
          <w:rFonts w:hint="eastAsia" w:ascii="宋体" w:hAnsi="宋体" w:eastAsia="宋体" w:cs="宋体"/>
          <w:color w:val="auto"/>
          <w:sz w:val="21"/>
          <w:szCs w:val="21"/>
          <w:highlight w:val="none"/>
        </w:rPr>
        <w:t>中</w:t>
      </w:r>
      <w:r>
        <w:rPr>
          <w:rFonts w:hint="eastAsia" w:ascii="宋体" w:hAnsi="宋体" w:eastAsia="宋体" w:cs="宋体"/>
          <w:color w:val="auto"/>
          <w:kern w:val="0"/>
          <w:sz w:val="21"/>
          <w:szCs w:val="21"/>
          <w:highlight w:val="none"/>
          <w:lang w:val="zh-CN"/>
        </w:rPr>
        <w:t>规定的</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基本资格条件</w:t>
      </w:r>
      <w:r>
        <w:rPr>
          <w:rFonts w:hint="eastAsia" w:ascii="宋体" w:hAnsi="宋体" w:eastAsia="宋体" w:cs="宋体"/>
          <w:color w:val="auto"/>
          <w:kern w:val="0"/>
          <w:sz w:val="21"/>
          <w:szCs w:val="21"/>
          <w:highlight w:val="none"/>
          <w:lang w:val="zh-CN"/>
        </w:rPr>
        <w:t>；</w:t>
      </w:r>
    </w:p>
    <w:p w14:paraId="4BBF05D0">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比选文件</w:t>
      </w:r>
      <w:r>
        <w:rPr>
          <w:rFonts w:hint="eastAsia" w:ascii="宋体" w:hAnsi="宋体" w:eastAsia="宋体" w:cs="宋体"/>
          <w:color w:val="auto"/>
          <w:kern w:val="0"/>
          <w:sz w:val="21"/>
          <w:szCs w:val="21"/>
          <w:highlight w:val="none"/>
          <w:lang w:val="zh-CN"/>
        </w:rPr>
        <w:t>规定的</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 xml:space="preserve">特定资格条件。 </w:t>
      </w:r>
    </w:p>
    <w:p w14:paraId="5566E6F3">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3.2 </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不得存在下列情形之一：</w:t>
      </w:r>
    </w:p>
    <w:p w14:paraId="69C6B4B1">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（l）与</w:t>
      </w:r>
      <w:r>
        <w:rPr>
          <w:rFonts w:hint="eastAsia" w:ascii="宋体" w:hAnsi="宋体" w:eastAsia="宋体" w:cs="宋体"/>
          <w:color w:val="auto"/>
          <w:sz w:val="21"/>
          <w:szCs w:val="21"/>
          <w:highlight w:val="none"/>
          <w:lang w:eastAsia="zh-CN"/>
        </w:rPr>
        <w:t>招募人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招募代理机构</w:t>
      </w:r>
      <w:r>
        <w:rPr>
          <w:rFonts w:hint="eastAsia" w:ascii="宋体" w:hAnsi="宋体" w:eastAsia="宋体" w:cs="宋体"/>
          <w:color w:val="auto"/>
          <w:sz w:val="21"/>
          <w:szCs w:val="21"/>
          <w:highlight w:val="none"/>
        </w:rPr>
        <w:t>存在</w:t>
      </w:r>
      <w:r>
        <w:rPr>
          <w:rFonts w:hint="eastAsia" w:ascii="宋体" w:hAnsi="宋体" w:eastAsia="宋体" w:cs="宋体"/>
          <w:bCs/>
          <w:color w:val="auto"/>
          <w:sz w:val="21"/>
          <w:szCs w:val="21"/>
          <w:highlight w:val="none"/>
        </w:rPr>
        <w:t>隶属关系或者其他利害关系</w:t>
      </w:r>
      <w:r>
        <w:rPr>
          <w:rFonts w:hint="eastAsia" w:ascii="宋体" w:hAnsi="宋体" w:eastAsia="宋体" w:cs="宋体"/>
          <w:color w:val="auto"/>
          <w:sz w:val="21"/>
          <w:szCs w:val="21"/>
          <w:highlight w:val="none"/>
        </w:rPr>
        <w:t>。</w:t>
      </w:r>
    </w:p>
    <w:p w14:paraId="10BEF856">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（2）与其他</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的法定代表人（或者负责人）为同一人，或者与其他</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存在直接控股、管理关系。</w:t>
      </w:r>
    </w:p>
    <w:p w14:paraId="4E7EE1C6">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bCs/>
          <w:color w:val="auto"/>
          <w:sz w:val="21"/>
          <w:szCs w:val="21"/>
          <w:highlight w:val="none"/>
        </w:rPr>
        <w:t>责令停产停业、暂扣或者吊销许可证、暂扣或者吊销执照等情形之一的行政处罚</w:t>
      </w:r>
      <w:r>
        <w:rPr>
          <w:rFonts w:hint="eastAsia" w:ascii="宋体" w:hAnsi="宋体" w:eastAsia="宋体" w:cs="宋体"/>
          <w:color w:val="auto"/>
          <w:sz w:val="21"/>
          <w:szCs w:val="21"/>
          <w:highlight w:val="none"/>
        </w:rPr>
        <w:t>。</w:t>
      </w:r>
    </w:p>
    <w:p w14:paraId="70B7950A">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4.参与比选的费用 </w:t>
      </w:r>
    </w:p>
    <w:p w14:paraId="6E680B7A">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 无论比选的结果如何，</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应自行承担所有与</w:t>
      </w:r>
      <w:r>
        <w:rPr>
          <w:rFonts w:hint="eastAsia" w:ascii="宋体" w:hAnsi="宋体" w:eastAsia="宋体" w:cs="宋体"/>
          <w:color w:val="auto"/>
          <w:sz w:val="21"/>
          <w:szCs w:val="21"/>
          <w:highlight w:val="none"/>
          <w:lang w:eastAsia="zh-CN"/>
        </w:rPr>
        <w:t>比选招募</w:t>
      </w:r>
      <w:r>
        <w:rPr>
          <w:rFonts w:hint="eastAsia" w:ascii="宋体" w:hAnsi="宋体" w:eastAsia="宋体" w:cs="宋体"/>
          <w:color w:val="auto"/>
          <w:sz w:val="21"/>
          <w:szCs w:val="21"/>
          <w:highlight w:val="none"/>
        </w:rPr>
        <w:t>活动有关的全部费用。</w:t>
      </w:r>
    </w:p>
    <w:p w14:paraId="14C17ADE">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jc w:val="left"/>
        <w:textAlignment w:val="auto"/>
        <w:rPr>
          <w:rFonts w:hint="eastAsia" w:ascii="宋体" w:hAnsi="宋体" w:eastAsia="宋体" w:cs="宋体"/>
          <w:b/>
          <w:bCs/>
          <w:color w:val="auto"/>
          <w:spacing w:val="0"/>
          <w:sz w:val="21"/>
          <w:szCs w:val="21"/>
          <w:highlight w:val="none"/>
        </w:rPr>
      </w:pPr>
      <w:r>
        <w:rPr>
          <w:rFonts w:hint="eastAsia" w:ascii="宋体" w:hAnsi="宋体" w:eastAsia="宋体" w:cs="宋体"/>
          <w:b/>
          <w:color w:val="auto"/>
          <w:spacing w:val="0"/>
          <w:kern w:val="2"/>
          <w:sz w:val="21"/>
          <w:szCs w:val="21"/>
          <w:highlight w:val="none"/>
        </w:rPr>
        <w:t>5．</w:t>
      </w:r>
      <w:r>
        <w:rPr>
          <w:rFonts w:hint="eastAsia" w:ascii="宋体" w:hAnsi="宋体" w:eastAsia="宋体" w:cs="宋体"/>
          <w:b/>
          <w:bCs/>
          <w:color w:val="auto"/>
          <w:spacing w:val="0"/>
          <w:kern w:val="2"/>
          <w:sz w:val="21"/>
          <w:szCs w:val="21"/>
          <w:highlight w:val="none"/>
        </w:rPr>
        <w:t>授权委托</w:t>
      </w:r>
    </w:p>
    <w:p w14:paraId="249ACB6A">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5.1</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代表为</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法定代表人的，应具备法定代表人身份证明。</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代表不是</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法定代表人的，应具备法定代表人授权书，并附法定代表人身份证明。</w:t>
      </w:r>
    </w:p>
    <w:p w14:paraId="369861C9">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jc w:val="left"/>
        <w:textAlignment w:val="auto"/>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kern w:val="2"/>
          <w:sz w:val="21"/>
          <w:szCs w:val="21"/>
          <w:highlight w:val="none"/>
        </w:rPr>
        <w:t>6．联合体形式</w:t>
      </w:r>
    </w:p>
    <w:p w14:paraId="3931013A">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6.1除</w:t>
      </w:r>
      <w:r>
        <w:rPr>
          <w:rFonts w:hint="eastAsia" w:ascii="宋体" w:hAnsi="宋体" w:eastAsia="宋体" w:cs="宋体"/>
          <w:b/>
          <w:color w:val="auto"/>
          <w:spacing w:val="0"/>
          <w:kern w:val="2"/>
          <w:sz w:val="21"/>
          <w:szCs w:val="21"/>
          <w:highlight w:val="none"/>
          <w:lang w:eastAsia="zh-CN"/>
        </w:rPr>
        <w:t>投标人</w:t>
      </w:r>
      <w:r>
        <w:rPr>
          <w:rFonts w:hint="eastAsia" w:ascii="宋体" w:hAnsi="宋体" w:eastAsia="宋体" w:cs="宋体"/>
          <w:b/>
          <w:color w:val="auto"/>
          <w:spacing w:val="0"/>
          <w:kern w:val="2"/>
          <w:sz w:val="21"/>
          <w:szCs w:val="21"/>
          <w:highlight w:val="none"/>
        </w:rPr>
        <w:t>须知前附表</w:t>
      </w:r>
      <w:r>
        <w:rPr>
          <w:rFonts w:hint="eastAsia" w:ascii="宋体" w:hAnsi="宋体" w:eastAsia="宋体" w:cs="宋体"/>
          <w:color w:val="auto"/>
          <w:spacing w:val="0"/>
          <w:kern w:val="2"/>
          <w:sz w:val="21"/>
          <w:szCs w:val="21"/>
          <w:highlight w:val="none"/>
        </w:rPr>
        <w:t>中另有规定，本次</w:t>
      </w:r>
      <w:r>
        <w:rPr>
          <w:rFonts w:hint="eastAsia" w:ascii="宋体" w:hAnsi="宋体" w:eastAsia="宋体" w:cs="宋体"/>
          <w:color w:val="auto"/>
          <w:spacing w:val="0"/>
          <w:kern w:val="2"/>
          <w:sz w:val="21"/>
          <w:szCs w:val="21"/>
          <w:highlight w:val="none"/>
          <w:lang w:eastAsia="zh-CN"/>
        </w:rPr>
        <w:t>比选招募</w:t>
      </w:r>
      <w:r>
        <w:rPr>
          <w:rFonts w:hint="eastAsia" w:ascii="宋体" w:hAnsi="宋体" w:eastAsia="宋体" w:cs="宋体"/>
          <w:color w:val="auto"/>
          <w:spacing w:val="0"/>
          <w:kern w:val="2"/>
          <w:sz w:val="21"/>
          <w:szCs w:val="21"/>
          <w:highlight w:val="none"/>
        </w:rPr>
        <w:t>不接受为联合体形式的</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w:t>
      </w:r>
    </w:p>
    <w:p w14:paraId="2C6ECC4A">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为联合体形式的，除应符合本章第3条规定外，还应遵守以下规定：</w:t>
      </w:r>
    </w:p>
    <w:p w14:paraId="658455AB">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（l）联合体各方必须签订联合体协议书，明确联合体牵头人和各方的义务、工作、合同工作量比例；</w:t>
      </w:r>
    </w:p>
    <w:p w14:paraId="763BB386">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（2）联合体各方均应当符合本章第3.1</w:t>
      </w:r>
      <w:r>
        <w:rPr>
          <w:rFonts w:hint="eastAsia" w:ascii="宋体" w:hAnsi="宋体" w:eastAsia="宋体" w:cs="宋体"/>
          <w:color w:val="auto"/>
          <w:kern w:val="0"/>
          <w:sz w:val="21"/>
          <w:szCs w:val="21"/>
          <w:highlight w:val="none"/>
          <w:lang w:val="zh-CN"/>
        </w:rPr>
        <w:t>款</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基本资格条件；</w:t>
      </w:r>
    </w:p>
    <w:p w14:paraId="78AD68CB">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（3）除</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须知前附表</w:t>
      </w:r>
      <w:r>
        <w:rPr>
          <w:rFonts w:hint="eastAsia" w:ascii="宋体" w:hAnsi="宋体" w:eastAsia="宋体" w:cs="宋体"/>
          <w:color w:val="auto"/>
          <w:sz w:val="21"/>
          <w:szCs w:val="21"/>
          <w:highlight w:val="none"/>
        </w:rPr>
        <w:t>中另有规定，联合体各方中至少有一方应当符合本章第3.1</w:t>
      </w:r>
      <w:r>
        <w:rPr>
          <w:rFonts w:hint="eastAsia" w:ascii="宋体" w:hAnsi="宋体" w:eastAsia="宋体" w:cs="宋体"/>
          <w:color w:val="auto"/>
          <w:kern w:val="0"/>
          <w:sz w:val="21"/>
          <w:szCs w:val="21"/>
          <w:highlight w:val="none"/>
          <w:lang w:val="zh-CN"/>
        </w:rPr>
        <w:t>款</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特定资格条件；</w:t>
      </w:r>
    </w:p>
    <w:p w14:paraId="1CD4EAA4">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rPr>
        <w:t>（4）</w:t>
      </w:r>
      <w:r>
        <w:rPr>
          <w:rFonts w:hint="eastAsia" w:ascii="宋体" w:hAnsi="宋体" w:eastAsia="宋体" w:cs="宋体"/>
          <w:color w:val="auto"/>
          <w:kern w:val="0"/>
          <w:sz w:val="21"/>
          <w:szCs w:val="21"/>
          <w:highlight w:val="none"/>
          <w:lang w:val="zh-CN"/>
        </w:rPr>
        <w:t>联合体各方不得再单独或与其他投标人组成新的联合体参加同一项目的采购活动。</w:t>
      </w:r>
    </w:p>
    <w:p w14:paraId="3CBFD7F8">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7.现场勘察</w:t>
      </w:r>
    </w:p>
    <w:p w14:paraId="5D780F60">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应按</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须知前附表</w:t>
      </w:r>
      <w:r>
        <w:rPr>
          <w:rFonts w:hint="eastAsia" w:ascii="宋体" w:hAnsi="宋体" w:eastAsia="宋体" w:cs="宋体"/>
          <w:color w:val="auto"/>
          <w:sz w:val="21"/>
          <w:szCs w:val="21"/>
          <w:highlight w:val="none"/>
        </w:rPr>
        <w:t>中规定对</w:t>
      </w:r>
      <w:r>
        <w:rPr>
          <w:rFonts w:hint="eastAsia" w:ascii="宋体" w:hAnsi="宋体" w:eastAsia="宋体" w:cs="宋体"/>
          <w:color w:val="auto"/>
          <w:sz w:val="21"/>
          <w:szCs w:val="21"/>
          <w:highlight w:val="none"/>
          <w:lang w:eastAsia="zh-CN"/>
        </w:rPr>
        <w:t>招募项目</w:t>
      </w:r>
      <w:r>
        <w:rPr>
          <w:rFonts w:hint="eastAsia" w:ascii="宋体" w:hAnsi="宋体" w:eastAsia="宋体" w:cs="宋体"/>
          <w:color w:val="auto"/>
          <w:sz w:val="21"/>
          <w:szCs w:val="21"/>
          <w:highlight w:val="none"/>
        </w:rPr>
        <w:t>现场和周围环境的现场考察。</w:t>
      </w:r>
    </w:p>
    <w:p w14:paraId="4E6BD150">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7.2勘察现场的费用由</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自己承担，勘察期间所发生的人身伤害及财产损失由</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自己负责。</w:t>
      </w:r>
    </w:p>
    <w:p w14:paraId="2F50E042">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lang w:eastAsia="zh-CN"/>
        </w:rPr>
        <w:t>招募人</w:t>
      </w:r>
      <w:r>
        <w:rPr>
          <w:rFonts w:hint="eastAsia" w:ascii="宋体" w:hAnsi="宋体" w:eastAsia="宋体" w:cs="宋体"/>
          <w:color w:val="auto"/>
          <w:sz w:val="21"/>
          <w:szCs w:val="21"/>
          <w:highlight w:val="none"/>
        </w:rPr>
        <w:t>不对</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据此而做出的推论、理解和结论负责。一旦成交，</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不得以任何借口，而提出额外补偿，或延长合同期限的要求。</w:t>
      </w:r>
    </w:p>
    <w:p w14:paraId="343B90A4">
      <w:pPr>
        <w:keepNext w:val="0"/>
        <w:keepLines w:val="0"/>
        <w:pageBreakBefore w:val="0"/>
        <w:kinsoku/>
        <w:overflowPunct/>
        <w:topLinePunct w:val="0"/>
        <w:autoSpaceDE/>
        <w:bidi w:val="0"/>
        <w:adjustRightInd w:val="0"/>
        <w:snapToGrid w:val="0"/>
        <w:spacing w:line="312" w:lineRule="auto"/>
        <w:ind w:left="0" w:right="0" w:rightChars="0" w:hanging="789" w:hangingChars="376"/>
        <w:jc w:val="left"/>
        <w:textAlignment w:val="auto"/>
        <w:outlineLvl w:val="1"/>
        <w:rPr>
          <w:rFonts w:hint="eastAsia" w:ascii="宋体" w:hAnsi="宋体" w:eastAsia="宋体" w:cs="宋体"/>
          <w:b/>
          <w:color w:val="auto"/>
          <w:sz w:val="21"/>
          <w:szCs w:val="21"/>
          <w:highlight w:val="none"/>
        </w:rPr>
      </w:pPr>
      <w:bookmarkStart w:id="14" w:name="_Toc22323"/>
      <w:r>
        <w:rPr>
          <w:rFonts w:hint="eastAsia" w:ascii="宋体" w:hAnsi="宋体" w:eastAsia="宋体" w:cs="宋体"/>
          <w:b/>
          <w:color w:val="auto"/>
          <w:sz w:val="21"/>
          <w:szCs w:val="21"/>
          <w:highlight w:val="none"/>
        </w:rPr>
        <w:t>二、比选文件</w:t>
      </w:r>
      <w:bookmarkEnd w:id="14"/>
    </w:p>
    <w:p w14:paraId="540BC7B9">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8．比选</w:t>
      </w:r>
      <w:r>
        <w:rPr>
          <w:rFonts w:hint="eastAsia" w:ascii="宋体" w:hAnsi="宋体" w:eastAsia="宋体" w:cs="宋体"/>
          <w:b/>
          <w:bCs/>
          <w:color w:val="auto"/>
          <w:sz w:val="21"/>
          <w:szCs w:val="21"/>
          <w:highlight w:val="none"/>
        </w:rPr>
        <w:t>文件的组成</w:t>
      </w:r>
    </w:p>
    <w:p w14:paraId="3B9CA87B">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8.1 比选文件由下列文件组成：</w:t>
      </w:r>
    </w:p>
    <w:p w14:paraId="0B71ECB3">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kern w:val="2"/>
          <w:sz w:val="21"/>
          <w:szCs w:val="21"/>
          <w:highlight w:val="none"/>
        </w:rPr>
        <w:t xml:space="preserve">第一章 </w:t>
      </w:r>
      <w:r>
        <w:rPr>
          <w:rFonts w:hint="eastAsia" w:ascii="宋体" w:hAnsi="宋体" w:eastAsia="宋体" w:cs="宋体"/>
          <w:color w:val="auto"/>
          <w:spacing w:val="0"/>
          <w:kern w:val="2"/>
          <w:sz w:val="21"/>
          <w:szCs w:val="21"/>
          <w:highlight w:val="none"/>
          <w:lang w:val="en-US" w:eastAsia="zh-CN"/>
        </w:rPr>
        <w:t>公开</w:t>
      </w:r>
      <w:r>
        <w:rPr>
          <w:rFonts w:hint="eastAsia" w:ascii="宋体" w:hAnsi="宋体" w:eastAsia="宋体" w:cs="宋体"/>
          <w:color w:val="auto"/>
          <w:spacing w:val="0"/>
          <w:kern w:val="2"/>
          <w:sz w:val="21"/>
          <w:szCs w:val="21"/>
          <w:highlight w:val="none"/>
          <w:lang w:eastAsia="zh-CN"/>
        </w:rPr>
        <w:t>比选</w:t>
      </w:r>
      <w:r>
        <w:rPr>
          <w:rFonts w:hint="eastAsia" w:ascii="宋体" w:hAnsi="宋体" w:eastAsia="宋体" w:cs="宋体"/>
          <w:color w:val="auto"/>
          <w:spacing w:val="0"/>
          <w:kern w:val="2"/>
          <w:sz w:val="21"/>
          <w:szCs w:val="21"/>
          <w:highlight w:val="none"/>
          <w:lang w:val="en-US" w:eastAsia="zh-CN"/>
        </w:rPr>
        <w:t>公告</w:t>
      </w:r>
    </w:p>
    <w:p w14:paraId="46F93F7E">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 xml:space="preserve">第二章 </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须知</w:t>
      </w:r>
    </w:p>
    <w:p w14:paraId="4F6A2486">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第三章 评审办法及标准</w:t>
      </w:r>
    </w:p>
    <w:p w14:paraId="21A4AA99">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第四章 合同条款</w:t>
      </w:r>
    </w:p>
    <w:p w14:paraId="233A750C">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kern w:val="2"/>
          <w:sz w:val="21"/>
          <w:szCs w:val="21"/>
          <w:highlight w:val="none"/>
        </w:rPr>
        <w:t xml:space="preserve">第五章 </w:t>
      </w:r>
      <w:r>
        <w:rPr>
          <w:rFonts w:hint="eastAsia" w:ascii="宋体" w:hAnsi="宋体" w:eastAsia="宋体" w:cs="宋体"/>
          <w:color w:val="auto"/>
          <w:spacing w:val="0"/>
          <w:kern w:val="2"/>
          <w:sz w:val="21"/>
          <w:szCs w:val="21"/>
          <w:highlight w:val="none"/>
          <w:lang w:eastAsia="zh-CN"/>
        </w:rPr>
        <w:t>招募需求</w:t>
      </w:r>
    </w:p>
    <w:p w14:paraId="0680F446">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 xml:space="preserve">第六章 </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组成</w:t>
      </w:r>
    </w:p>
    <w:p w14:paraId="65B614C2">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8.2</w:t>
      </w:r>
      <w:r>
        <w:rPr>
          <w:rFonts w:hint="eastAsia" w:ascii="宋体" w:hAnsi="宋体" w:eastAsia="宋体" w:cs="宋体"/>
          <w:color w:val="auto"/>
          <w:spacing w:val="0"/>
          <w:sz w:val="21"/>
          <w:szCs w:val="21"/>
          <w:highlight w:val="none"/>
        </w:rPr>
        <w:t>提交</w:t>
      </w:r>
      <w:r>
        <w:rPr>
          <w:rFonts w:hint="eastAsia" w:ascii="宋体" w:hAnsi="宋体" w:eastAsia="宋体" w:cs="宋体"/>
          <w:color w:val="auto"/>
          <w:spacing w:val="0"/>
          <w:sz w:val="21"/>
          <w:szCs w:val="21"/>
          <w:highlight w:val="none"/>
          <w:lang w:eastAsia="zh-CN"/>
        </w:rPr>
        <w:t>投标文件</w:t>
      </w:r>
      <w:r>
        <w:rPr>
          <w:rFonts w:hint="eastAsia" w:ascii="宋体" w:hAnsi="宋体" w:eastAsia="宋体" w:cs="宋体"/>
          <w:color w:val="auto"/>
          <w:spacing w:val="0"/>
          <w:sz w:val="21"/>
          <w:szCs w:val="21"/>
          <w:highlight w:val="none"/>
        </w:rPr>
        <w:t>截止时间前对</w:t>
      </w:r>
      <w:r>
        <w:rPr>
          <w:rFonts w:hint="eastAsia" w:ascii="宋体" w:hAnsi="宋体" w:eastAsia="宋体" w:cs="宋体"/>
          <w:color w:val="auto"/>
          <w:spacing w:val="0"/>
          <w:kern w:val="2"/>
          <w:sz w:val="21"/>
          <w:szCs w:val="21"/>
          <w:highlight w:val="none"/>
        </w:rPr>
        <w:t>比选</w:t>
      </w:r>
      <w:r>
        <w:rPr>
          <w:rFonts w:hint="eastAsia" w:ascii="宋体" w:hAnsi="宋体" w:eastAsia="宋体" w:cs="宋体"/>
          <w:color w:val="auto"/>
          <w:spacing w:val="0"/>
          <w:sz w:val="21"/>
          <w:szCs w:val="21"/>
          <w:highlight w:val="none"/>
        </w:rPr>
        <w:t>文件澄清或者修改内容，为</w:t>
      </w:r>
      <w:r>
        <w:rPr>
          <w:rFonts w:hint="eastAsia" w:ascii="宋体" w:hAnsi="宋体" w:eastAsia="宋体" w:cs="宋体"/>
          <w:color w:val="auto"/>
          <w:spacing w:val="0"/>
          <w:kern w:val="2"/>
          <w:sz w:val="21"/>
          <w:szCs w:val="21"/>
          <w:highlight w:val="none"/>
        </w:rPr>
        <w:t>比选</w:t>
      </w:r>
      <w:r>
        <w:rPr>
          <w:rFonts w:hint="eastAsia" w:ascii="宋体" w:hAnsi="宋体" w:eastAsia="宋体" w:cs="宋体"/>
          <w:color w:val="auto"/>
          <w:spacing w:val="0"/>
          <w:sz w:val="21"/>
          <w:szCs w:val="21"/>
          <w:highlight w:val="none"/>
        </w:rPr>
        <w:t>文件的组成部分。</w:t>
      </w:r>
    </w:p>
    <w:p w14:paraId="1C90D514">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8.3评标委员会</w:t>
      </w:r>
      <w:r>
        <w:rPr>
          <w:rFonts w:hint="eastAsia" w:ascii="宋体" w:hAnsi="宋体" w:eastAsia="宋体" w:cs="宋体"/>
          <w:color w:val="auto"/>
          <w:spacing w:val="0"/>
          <w:sz w:val="21"/>
          <w:szCs w:val="21"/>
          <w:highlight w:val="none"/>
        </w:rPr>
        <w:t>根据与</w:t>
      </w:r>
      <w:r>
        <w:rPr>
          <w:rFonts w:hint="eastAsia" w:ascii="宋体" w:hAnsi="宋体" w:eastAsia="宋体" w:cs="宋体"/>
          <w:color w:val="auto"/>
          <w:spacing w:val="0"/>
          <w:sz w:val="21"/>
          <w:szCs w:val="21"/>
          <w:highlight w:val="none"/>
          <w:lang w:eastAsia="zh-CN"/>
        </w:rPr>
        <w:t>投标人</w:t>
      </w:r>
      <w:r>
        <w:rPr>
          <w:rFonts w:hint="eastAsia" w:ascii="宋体" w:hAnsi="宋体" w:eastAsia="宋体" w:cs="宋体"/>
          <w:color w:val="auto"/>
          <w:spacing w:val="0"/>
          <w:kern w:val="2"/>
          <w:sz w:val="21"/>
          <w:szCs w:val="21"/>
          <w:highlight w:val="none"/>
        </w:rPr>
        <w:t>比选情</w:t>
      </w:r>
      <w:r>
        <w:rPr>
          <w:rFonts w:hint="eastAsia" w:ascii="宋体" w:hAnsi="宋体" w:eastAsia="宋体" w:cs="宋体"/>
          <w:color w:val="auto"/>
          <w:spacing w:val="0"/>
          <w:sz w:val="21"/>
          <w:szCs w:val="21"/>
          <w:highlight w:val="none"/>
        </w:rPr>
        <w:t>况可能实质性变动的内容，包括</w:t>
      </w:r>
      <w:r>
        <w:rPr>
          <w:rFonts w:hint="eastAsia" w:ascii="宋体" w:hAnsi="宋体" w:eastAsia="宋体" w:cs="宋体"/>
          <w:color w:val="auto"/>
          <w:spacing w:val="0"/>
          <w:sz w:val="21"/>
          <w:szCs w:val="21"/>
          <w:highlight w:val="none"/>
          <w:lang w:eastAsia="zh-CN"/>
        </w:rPr>
        <w:t>招募需求</w:t>
      </w:r>
      <w:r>
        <w:rPr>
          <w:rFonts w:hint="eastAsia" w:ascii="宋体" w:hAnsi="宋体" w:eastAsia="宋体" w:cs="宋体"/>
          <w:color w:val="auto"/>
          <w:spacing w:val="0"/>
          <w:sz w:val="21"/>
          <w:szCs w:val="21"/>
          <w:highlight w:val="none"/>
        </w:rPr>
        <w:t>中的技术、服务要求以及合同条款，</w:t>
      </w:r>
      <w:r>
        <w:rPr>
          <w:rFonts w:hint="eastAsia" w:ascii="宋体" w:hAnsi="宋体" w:eastAsia="宋体" w:cs="宋体"/>
          <w:snapToGrid w:val="0"/>
          <w:color w:val="auto"/>
          <w:spacing w:val="0"/>
          <w:kern w:val="2"/>
          <w:sz w:val="21"/>
          <w:szCs w:val="21"/>
          <w:highlight w:val="none"/>
        </w:rPr>
        <w:t>在</w:t>
      </w:r>
      <w:r>
        <w:rPr>
          <w:rFonts w:hint="eastAsia" w:ascii="宋体" w:hAnsi="宋体" w:eastAsia="宋体" w:cs="宋体"/>
          <w:b/>
          <w:color w:val="auto"/>
          <w:spacing w:val="0"/>
          <w:kern w:val="2"/>
          <w:sz w:val="21"/>
          <w:szCs w:val="21"/>
          <w:highlight w:val="none"/>
          <w:lang w:eastAsia="zh-CN"/>
        </w:rPr>
        <w:t>投标人</w:t>
      </w:r>
      <w:r>
        <w:rPr>
          <w:rFonts w:hint="eastAsia" w:ascii="宋体" w:hAnsi="宋体" w:eastAsia="宋体" w:cs="宋体"/>
          <w:b/>
          <w:color w:val="auto"/>
          <w:spacing w:val="0"/>
          <w:kern w:val="2"/>
          <w:sz w:val="21"/>
          <w:szCs w:val="21"/>
          <w:highlight w:val="none"/>
        </w:rPr>
        <w:t>须知</w:t>
      </w:r>
      <w:r>
        <w:rPr>
          <w:rFonts w:hint="eastAsia" w:ascii="宋体" w:hAnsi="宋体" w:eastAsia="宋体" w:cs="宋体"/>
          <w:b/>
          <w:snapToGrid w:val="0"/>
          <w:color w:val="auto"/>
          <w:spacing w:val="0"/>
          <w:kern w:val="2"/>
          <w:sz w:val="21"/>
          <w:szCs w:val="21"/>
          <w:highlight w:val="none"/>
        </w:rPr>
        <w:t>前附表</w:t>
      </w:r>
      <w:r>
        <w:rPr>
          <w:rFonts w:hint="eastAsia" w:ascii="宋体" w:hAnsi="宋体" w:eastAsia="宋体" w:cs="宋体"/>
          <w:snapToGrid w:val="0"/>
          <w:color w:val="auto"/>
          <w:spacing w:val="0"/>
          <w:kern w:val="2"/>
          <w:sz w:val="21"/>
          <w:szCs w:val="21"/>
          <w:highlight w:val="none"/>
        </w:rPr>
        <w:t>中明确。</w:t>
      </w:r>
    </w:p>
    <w:p w14:paraId="5081C0FD">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8.4</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应仔细阅读比选文件的全部内容，按照比选文件要求编制</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。任何对比选文件的忽略或误解不能作为</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存在缺陷或瑕疵的理由，其风险由</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承担。</w:t>
      </w:r>
    </w:p>
    <w:p w14:paraId="00C82AA4">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9. 比选文件的提供期限</w:t>
      </w:r>
    </w:p>
    <w:p w14:paraId="372570A1">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9.1比选文件自开始发出之日起至</w:t>
      </w:r>
      <w:r>
        <w:rPr>
          <w:rFonts w:hint="eastAsia" w:ascii="宋体" w:hAnsi="宋体" w:eastAsia="宋体" w:cs="宋体"/>
          <w:b/>
          <w:color w:val="auto"/>
          <w:spacing w:val="0"/>
          <w:kern w:val="2"/>
          <w:sz w:val="21"/>
          <w:szCs w:val="21"/>
          <w:highlight w:val="none"/>
        </w:rPr>
        <w:t>比选文件前附表</w:t>
      </w:r>
      <w:r>
        <w:rPr>
          <w:rFonts w:hint="eastAsia" w:ascii="宋体" w:hAnsi="宋体" w:eastAsia="宋体" w:cs="宋体"/>
          <w:color w:val="auto"/>
          <w:spacing w:val="0"/>
          <w:kern w:val="2"/>
          <w:sz w:val="21"/>
          <w:szCs w:val="21"/>
          <w:highlight w:val="none"/>
        </w:rPr>
        <w:t>规定的递交</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截止时间止，不少于5日。比选文件提供期限见</w:t>
      </w:r>
      <w:r>
        <w:rPr>
          <w:rFonts w:hint="eastAsia" w:ascii="宋体" w:hAnsi="宋体" w:eastAsia="宋体" w:cs="宋体"/>
          <w:b/>
          <w:color w:val="auto"/>
          <w:spacing w:val="0"/>
          <w:kern w:val="2"/>
          <w:sz w:val="21"/>
          <w:szCs w:val="21"/>
          <w:highlight w:val="none"/>
        </w:rPr>
        <w:t>比选文件前附表</w:t>
      </w:r>
      <w:r>
        <w:rPr>
          <w:rFonts w:hint="eastAsia" w:ascii="宋体" w:hAnsi="宋体" w:eastAsia="宋体" w:cs="宋体"/>
          <w:color w:val="auto"/>
          <w:spacing w:val="0"/>
          <w:kern w:val="2"/>
          <w:sz w:val="21"/>
          <w:szCs w:val="21"/>
          <w:highlight w:val="none"/>
        </w:rPr>
        <w:t>。</w:t>
      </w:r>
    </w:p>
    <w:p w14:paraId="622D03AA">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10.</w:t>
      </w:r>
      <w:r>
        <w:rPr>
          <w:rFonts w:hint="eastAsia" w:ascii="宋体" w:hAnsi="宋体" w:eastAsia="宋体" w:cs="宋体"/>
          <w:b/>
          <w:color w:val="auto"/>
          <w:kern w:val="0"/>
          <w:sz w:val="21"/>
          <w:szCs w:val="21"/>
          <w:highlight w:val="none"/>
        </w:rPr>
        <w:t>提交</w:t>
      </w:r>
      <w:r>
        <w:rPr>
          <w:rFonts w:hint="eastAsia" w:ascii="宋体" w:hAnsi="宋体" w:eastAsia="宋体" w:cs="宋体"/>
          <w:b/>
          <w:color w:val="auto"/>
          <w:kern w:val="0"/>
          <w:sz w:val="21"/>
          <w:szCs w:val="21"/>
          <w:highlight w:val="none"/>
          <w:lang w:eastAsia="zh-CN"/>
        </w:rPr>
        <w:t>投标文件</w:t>
      </w:r>
      <w:r>
        <w:rPr>
          <w:rFonts w:hint="eastAsia" w:ascii="宋体" w:hAnsi="宋体" w:eastAsia="宋体" w:cs="宋体"/>
          <w:b/>
          <w:color w:val="auto"/>
          <w:sz w:val="21"/>
          <w:szCs w:val="21"/>
          <w:highlight w:val="none"/>
        </w:rPr>
        <w:t>的</w:t>
      </w:r>
      <w:r>
        <w:rPr>
          <w:rFonts w:hint="eastAsia" w:ascii="宋体" w:hAnsi="宋体" w:eastAsia="宋体" w:cs="宋体"/>
          <w:b/>
          <w:color w:val="auto"/>
          <w:kern w:val="0"/>
          <w:sz w:val="21"/>
          <w:szCs w:val="21"/>
          <w:highlight w:val="none"/>
        </w:rPr>
        <w:t>截止</w:t>
      </w:r>
      <w:r>
        <w:rPr>
          <w:rFonts w:hint="eastAsia" w:ascii="宋体" w:hAnsi="宋体" w:eastAsia="宋体" w:cs="宋体"/>
          <w:b/>
          <w:color w:val="auto"/>
          <w:sz w:val="21"/>
          <w:szCs w:val="21"/>
          <w:highlight w:val="none"/>
        </w:rPr>
        <w:t>时间</w:t>
      </w:r>
    </w:p>
    <w:p w14:paraId="452D1D34">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10.1</w:t>
      </w:r>
      <w:r>
        <w:rPr>
          <w:rFonts w:hint="eastAsia" w:ascii="宋体" w:hAnsi="宋体" w:eastAsia="宋体" w:cs="宋体"/>
          <w:color w:val="auto"/>
          <w:spacing w:val="0"/>
          <w:sz w:val="21"/>
          <w:szCs w:val="21"/>
          <w:highlight w:val="none"/>
          <w:lang w:eastAsia="zh-CN"/>
        </w:rPr>
        <w:t>投标人</w:t>
      </w:r>
      <w:r>
        <w:rPr>
          <w:rFonts w:hint="eastAsia" w:ascii="宋体" w:hAnsi="宋体" w:eastAsia="宋体" w:cs="宋体"/>
          <w:color w:val="auto"/>
          <w:spacing w:val="0"/>
          <w:sz w:val="21"/>
          <w:szCs w:val="21"/>
          <w:highlight w:val="none"/>
        </w:rPr>
        <w:t>提交</w:t>
      </w:r>
      <w:r>
        <w:rPr>
          <w:rFonts w:hint="eastAsia" w:ascii="宋体" w:hAnsi="宋体" w:eastAsia="宋体" w:cs="宋体"/>
          <w:color w:val="auto"/>
          <w:spacing w:val="0"/>
          <w:sz w:val="21"/>
          <w:szCs w:val="21"/>
          <w:highlight w:val="none"/>
          <w:lang w:eastAsia="zh-CN"/>
        </w:rPr>
        <w:t>投标文件</w:t>
      </w:r>
      <w:r>
        <w:rPr>
          <w:rFonts w:hint="eastAsia" w:ascii="宋体" w:hAnsi="宋体" w:eastAsia="宋体" w:cs="宋体"/>
          <w:color w:val="auto"/>
          <w:spacing w:val="0"/>
          <w:sz w:val="21"/>
          <w:szCs w:val="21"/>
          <w:highlight w:val="none"/>
        </w:rPr>
        <w:t>截止</w:t>
      </w:r>
      <w:r>
        <w:rPr>
          <w:rFonts w:hint="eastAsia" w:ascii="宋体" w:hAnsi="宋体" w:eastAsia="宋体" w:cs="宋体"/>
          <w:color w:val="auto"/>
          <w:spacing w:val="0"/>
          <w:kern w:val="2"/>
          <w:sz w:val="21"/>
          <w:szCs w:val="21"/>
          <w:highlight w:val="none"/>
        </w:rPr>
        <w:t>时间见</w:t>
      </w:r>
      <w:r>
        <w:rPr>
          <w:rFonts w:hint="eastAsia" w:ascii="宋体" w:hAnsi="宋体" w:eastAsia="宋体" w:cs="宋体"/>
          <w:b/>
          <w:color w:val="auto"/>
          <w:spacing w:val="0"/>
          <w:kern w:val="2"/>
          <w:sz w:val="21"/>
          <w:szCs w:val="21"/>
          <w:highlight w:val="none"/>
          <w:lang w:eastAsia="zh-CN"/>
        </w:rPr>
        <w:t>投标人</w:t>
      </w:r>
      <w:r>
        <w:rPr>
          <w:rFonts w:hint="eastAsia" w:ascii="宋体" w:hAnsi="宋体" w:eastAsia="宋体" w:cs="宋体"/>
          <w:b/>
          <w:color w:val="auto"/>
          <w:spacing w:val="0"/>
          <w:kern w:val="2"/>
          <w:sz w:val="21"/>
          <w:szCs w:val="21"/>
          <w:highlight w:val="none"/>
        </w:rPr>
        <w:t>须知前附表</w:t>
      </w:r>
      <w:r>
        <w:rPr>
          <w:rFonts w:hint="eastAsia" w:ascii="宋体" w:hAnsi="宋体" w:eastAsia="宋体" w:cs="宋体"/>
          <w:color w:val="auto"/>
          <w:spacing w:val="0"/>
          <w:kern w:val="2"/>
          <w:sz w:val="21"/>
          <w:szCs w:val="21"/>
          <w:highlight w:val="none"/>
        </w:rPr>
        <w:t>。</w:t>
      </w:r>
    </w:p>
    <w:p w14:paraId="38638BDA">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12.</w:t>
      </w:r>
      <w:r>
        <w:rPr>
          <w:rFonts w:hint="eastAsia" w:ascii="宋体" w:hAnsi="宋体" w:eastAsia="宋体" w:cs="宋体"/>
          <w:color w:val="auto"/>
          <w:sz w:val="21"/>
          <w:szCs w:val="21"/>
          <w:highlight w:val="none"/>
        </w:rPr>
        <w:t xml:space="preserve"> </w:t>
      </w:r>
      <w:r>
        <w:rPr>
          <w:rFonts w:hint="eastAsia" w:ascii="宋体" w:hAnsi="宋体" w:eastAsia="宋体" w:cs="宋体"/>
          <w:b/>
          <w:color w:val="auto"/>
          <w:sz w:val="21"/>
          <w:szCs w:val="21"/>
          <w:highlight w:val="none"/>
        </w:rPr>
        <w:t>比选</w:t>
      </w:r>
      <w:r>
        <w:rPr>
          <w:rFonts w:hint="eastAsia" w:ascii="宋体" w:hAnsi="宋体" w:eastAsia="宋体" w:cs="宋体"/>
          <w:b/>
          <w:bCs/>
          <w:color w:val="auto"/>
          <w:sz w:val="21"/>
          <w:szCs w:val="21"/>
          <w:highlight w:val="none"/>
        </w:rPr>
        <w:t>文件的澄清</w:t>
      </w:r>
      <w:r>
        <w:rPr>
          <w:rFonts w:hint="eastAsia" w:ascii="宋体" w:hAnsi="宋体" w:eastAsia="宋体" w:cs="宋体"/>
          <w:b/>
          <w:color w:val="auto"/>
          <w:kern w:val="0"/>
          <w:sz w:val="21"/>
          <w:szCs w:val="21"/>
          <w:highlight w:val="none"/>
          <w:lang w:val="zh-CN"/>
        </w:rPr>
        <w:t>或者</w:t>
      </w:r>
      <w:r>
        <w:rPr>
          <w:rFonts w:hint="eastAsia" w:ascii="宋体" w:hAnsi="宋体" w:eastAsia="宋体" w:cs="宋体"/>
          <w:b/>
          <w:color w:val="auto"/>
          <w:sz w:val="21"/>
          <w:szCs w:val="21"/>
          <w:highlight w:val="none"/>
        </w:rPr>
        <w:t>修改</w:t>
      </w:r>
    </w:p>
    <w:p w14:paraId="57E2D770">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12.1在</w:t>
      </w:r>
      <w:r>
        <w:rPr>
          <w:rFonts w:hint="eastAsia" w:ascii="宋体" w:hAnsi="宋体" w:eastAsia="宋体" w:cs="宋体"/>
          <w:bCs/>
          <w:color w:val="auto"/>
          <w:sz w:val="21"/>
          <w:szCs w:val="21"/>
          <w:highlight w:val="none"/>
        </w:rPr>
        <w:t>规定的</w:t>
      </w:r>
      <w:r>
        <w:rPr>
          <w:rFonts w:hint="eastAsia" w:ascii="宋体" w:hAnsi="宋体" w:eastAsia="宋体" w:cs="宋体"/>
          <w:color w:val="auto"/>
          <w:kern w:val="0"/>
          <w:sz w:val="21"/>
          <w:szCs w:val="21"/>
          <w:highlight w:val="none"/>
        </w:rPr>
        <w:t>提交</w:t>
      </w:r>
      <w:r>
        <w:rPr>
          <w:rFonts w:hint="eastAsia" w:ascii="宋体" w:hAnsi="宋体" w:eastAsia="宋体" w:cs="宋体"/>
          <w:color w:val="auto"/>
          <w:kern w:val="0"/>
          <w:sz w:val="21"/>
          <w:szCs w:val="21"/>
          <w:highlight w:val="none"/>
          <w:lang w:eastAsia="zh-CN"/>
        </w:rPr>
        <w:t>投标文件</w:t>
      </w:r>
      <w:r>
        <w:rPr>
          <w:rFonts w:hint="eastAsia" w:ascii="宋体" w:hAnsi="宋体" w:eastAsia="宋体" w:cs="宋体"/>
          <w:color w:val="auto"/>
          <w:kern w:val="0"/>
          <w:sz w:val="21"/>
          <w:szCs w:val="21"/>
          <w:highlight w:val="none"/>
        </w:rPr>
        <w:t>截止之日前，</w:t>
      </w:r>
      <w:r>
        <w:rPr>
          <w:rFonts w:hint="eastAsia" w:ascii="宋体" w:hAnsi="宋体" w:eastAsia="宋体" w:cs="宋体"/>
          <w:color w:val="auto"/>
          <w:kern w:val="0"/>
          <w:sz w:val="21"/>
          <w:szCs w:val="21"/>
          <w:highlight w:val="none"/>
          <w:lang w:eastAsia="zh-CN"/>
        </w:rPr>
        <w:t>招募人</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招募代理机构</w:t>
      </w:r>
      <w:r>
        <w:rPr>
          <w:rFonts w:hint="eastAsia" w:ascii="宋体" w:hAnsi="宋体" w:eastAsia="宋体" w:cs="宋体"/>
          <w:color w:val="auto"/>
          <w:kern w:val="0"/>
          <w:sz w:val="21"/>
          <w:szCs w:val="21"/>
          <w:highlight w:val="none"/>
        </w:rPr>
        <w:t>可以对已发出的</w:t>
      </w:r>
      <w:r>
        <w:rPr>
          <w:rFonts w:hint="eastAsia" w:ascii="宋体" w:hAnsi="宋体" w:eastAsia="宋体" w:cs="宋体"/>
          <w:color w:val="auto"/>
          <w:sz w:val="21"/>
          <w:szCs w:val="21"/>
          <w:highlight w:val="none"/>
        </w:rPr>
        <w:t>比选</w:t>
      </w:r>
      <w:r>
        <w:rPr>
          <w:rFonts w:hint="eastAsia" w:ascii="宋体" w:hAnsi="宋体" w:eastAsia="宋体" w:cs="宋体"/>
          <w:color w:val="auto"/>
          <w:kern w:val="0"/>
          <w:sz w:val="21"/>
          <w:szCs w:val="21"/>
          <w:highlight w:val="none"/>
        </w:rPr>
        <w:t xml:space="preserve">文件进行必要的澄清或者修改。 </w:t>
      </w:r>
    </w:p>
    <w:p w14:paraId="79244C0A">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12.2</w:t>
      </w:r>
      <w:r>
        <w:rPr>
          <w:rFonts w:hint="eastAsia" w:ascii="宋体" w:hAnsi="宋体" w:eastAsia="宋体" w:cs="宋体"/>
          <w:color w:val="auto"/>
          <w:kern w:val="0"/>
          <w:sz w:val="21"/>
          <w:szCs w:val="21"/>
          <w:highlight w:val="none"/>
        </w:rPr>
        <w:t>澄清或者修改的内容可能影响</w:t>
      </w:r>
      <w:r>
        <w:rPr>
          <w:rFonts w:hint="eastAsia" w:ascii="宋体" w:hAnsi="宋体" w:eastAsia="宋体" w:cs="宋体"/>
          <w:color w:val="auto"/>
          <w:kern w:val="0"/>
          <w:sz w:val="21"/>
          <w:szCs w:val="21"/>
          <w:highlight w:val="none"/>
          <w:lang w:eastAsia="zh-CN"/>
        </w:rPr>
        <w:t>投标文件</w:t>
      </w:r>
      <w:r>
        <w:rPr>
          <w:rFonts w:hint="eastAsia" w:ascii="宋体" w:hAnsi="宋体" w:eastAsia="宋体" w:cs="宋体"/>
          <w:color w:val="auto"/>
          <w:kern w:val="0"/>
          <w:sz w:val="21"/>
          <w:szCs w:val="21"/>
          <w:highlight w:val="none"/>
        </w:rPr>
        <w:t>编制的，</w:t>
      </w:r>
      <w:r>
        <w:rPr>
          <w:rFonts w:hint="eastAsia" w:ascii="宋体" w:hAnsi="宋体" w:eastAsia="宋体" w:cs="宋体"/>
          <w:color w:val="auto"/>
          <w:kern w:val="0"/>
          <w:sz w:val="21"/>
          <w:szCs w:val="21"/>
          <w:highlight w:val="none"/>
          <w:lang w:eastAsia="zh-CN"/>
        </w:rPr>
        <w:t>招募人</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招募代理机构</w:t>
      </w:r>
      <w:r>
        <w:rPr>
          <w:rFonts w:hint="eastAsia" w:ascii="宋体" w:hAnsi="宋体" w:eastAsia="宋体" w:cs="宋体"/>
          <w:color w:val="auto"/>
          <w:kern w:val="0"/>
          <w:sz w:val="21"/>
          <w:szCs w:val="21"/>
          <w:highlight w:val="none"/>
        </w:rPr>
        <w:t>或者</w:t>
      </w:r>
      <w:r>
        <w:rPr>
          <w:rFonts w:hint="eastAsia" w:ascii="宋体" w:hAnsi="宋体" w:eastAsia="宋体" w:cs="宋体"/>
          <w:color w:val="auto"/>
          <w:sz w:val="21"/>
          <w:szCs w:val="21"/>
          <w:highlight w:val="none"/>
        </w:rPr>
        <w:t>评标委员会</w:t>
      </w:r>
      <w:r>
        <w:rPr>
          <w:rFonts w:hint="eastAsia" w:ascii="宋体" w:hAnsi="宋体" w:eastAsia="宋体" w:cs="宋体"/>
          <w:color w:val="auto"/>
          <w:kern w:val="0"/>
          <w:sz w:val="21"/>
          <w:szCs w:val="21"/>
          <w:highlight w:val="none"/>
        </w:rPr>
        <w:t>应当在</w:t>
      </w:r>
      <w:r>
        <w:rPr>
          <w:rFonts w:hint="eastAsia" w:ascii="宋体" w:hAnsi="宋体" w:eastAsia="宋体" w:cs="宋体"/>
          <w:bCs/>
          <w:color w:val="auto"/>
          <w:sz w:val="21"/>
          <w:szCs w:val="21"/>
          <w:highlight w:val="none"/>
        </w:rPr>
        <w:t>规定的</w:t>
      </w:r>
      <w:r>
        <w:rPr>
          <w:rFonts w:hint="eastAsia" w:ascii="宋体" w:hAnsi="宋体" w:eastAsia="宋体" w:cs="宋体"/>
          <w:color w:val="auto"/>
          <w:kern w:val="0"/>
          <w:sz w:val="21"/>
          <w:szCs w:val="21"/>
          <w:highlight w:val="none"/>
        </w:rPr>
        <w:t>提交</w:t>
      </w:r>
      <w:r>
        <w:rPr>
          <w:rFonts w:hint="eastAsia" w:ascii="宋体" w:hAnsi="宋体" w:eastAsia="宋体" w:cs="宋体"/>
          <w:color w:val="auto"/>
          <w:kern w:val="0"/>
          <w:sz w:val="21"/>
          <w:szCs w:val="21"/>
          <w:highlight w:val="none"/>
          <w:lang w:eastAsia="zh-CN"/>
        </w:rPr>
        <w:t>投标文件</w:t>
      </w:r>
      <w:r>
        <w:rPr>
          <w:rFonts w:hint="eastAsia" w:ascii="宋体" w:hAnsi="宋体" w:eastAsia="宋体" w:cs="宋体"/>
          <w:color w:val="auto"/>
          <w:kern w:val="0"/>
          <w:sz w:val="21"/>
          <w:szCs w:val="21"/>
          <w:highlight w:val="none"/>
        </w:rPr>
        <w:t>截止之日3日前，在</w:t>
      </w:r>
      <w:r>
        <w:rPr>
          <w:rFonts w:hint="eastAsia" w:ascii="宋体" w:hAnsi="宋体" w:eastAsia="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须知前附表规定的媒介发布，不足3日的，顺延</w:t>
      </w:r>
      <w:r>
        <w:rPr>
          <w:rFonts w:hint="eastAsia" w:ascii="宋体" w:hAnsi="宋体" w:eastAsia="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提交</w:t>
      </w:r>
      <w:r>
        <w:rPr>
          <w:rFonts w:hint="eastAsia" w:ascii="宋体" w:hAnsi="宋体" w:eastAsia="宋体" w:cs="宋体"/>
          <w:color w:val="auto"/>
          <w:kern w:val="0"/>
          <w:sz w:val="21"/>
          <w:szCs w:val="21"/>
          <w:highlight w:val="none"/>
          <w:lang w:eastAsia="zh-CN"/>
        </w:rPr>
        <w:t>投标文件</w:t>
      </w:r>
      <w:r>
        <w:rPr>
          <w:rFonts w:hint="eastAsia" w:ascii="宋体" w:hAnsi="宋体" w:eastAsia="宋体" w:cs="宋体"/>
          <w:color w:val="auto"/>
          <w:kern w:val="0"/>
          <w:sz w:val="21"/>
          <w:szCs w:val="21"/>
          <w:highlight w:val="none"/>
        </w:rPr>
        <w:t>截止时间。</w:t>
      </w:r>
    </w:p>
    <w:p w14:paraId="669F04D8">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12.3 比选文件澄清或者修改的内容在</w:t>
      </w:r>
      <w:r>
        <w:rPr>
          <w:rFonts w:hint="eastAsia" w:ascii="宋体" w:hAnsi="宋体" w:eastAsia="宋体" w:cs="宋体"/>
          <w:color w:val="auto"/>
          <w:spacing w:val="0"/>
          <w:sz w:val="21"/>
          <w:szCs w:val="21"/>
          <w:highlight w:val="none"/>
          <w:lang w:eastAsia="zh-CN"/>
        </w:rPr>
        <w:t>投标人</w:t>
      </w:r>
      <w:r>
        <w:rPr>
          <w:rFonts w:hint="eastAsia" w:ascii="宋体" w:hAnsi="宋体" w:eastAsia="宋体" w:cs="宋体"/>
          <w:color w:val="auto"/>
          <w:spacing w:val="0"/>
          <w:sz w:val="21"/>
          <w:szCs w:val="21"/>
          <w:highlight w:val="none"/>
        </w:rPr>
        <w:t>须知前附表规定的媒介上自行查阅。</w:t>
      </w:r>
    </w:p>
    <w:p w14:paraId="5D985C90">
      <w:pPr>
        <w:keepNext w:val="0"/>
        <w:keepLines w:val="0"/>
        <w:pageBreakBefore w:val="0"/>
        <w:kinsoku/>
        <w:overflowPunct/>
        <w:topLinePunct w:val="0"/>
        <w:autoSpaceDE/>
        <w:bidi w:val="0"/>
        <w:adjustRightInd w:val="0"/>
        <w:snapToGrid w:val="0"/>
        <w:spacing w:line="312" w:lineRule="auto"/>
        <w:ind w:left="0" w:right="0" w:rightChars="0"/>
        <w:jc w:val="left"/>
        <w:textAlignment w:val="auto"/>
        <w:outlineLvl w:val="1"/>
        <w:rPr>
          <w:rFonts w:hint="eastAsia" w:ascii="宋体" w:hAnsi="宋体" w:eastAsia="宋体" w:cs="宋体"/>
          <w:b/>
          <w:color w:val="auto"/>
          <w:sz w:val="21"/>
          <w:szCs w:val="21"/>
          <w:highlight w:val="none"/>
          <w:lang w:eastAsia="zh-CN"/>
        </w:rPr>
      </w:pPr>
      <w:bookmarkStart w:id="15" w:name="_Toc26549"/>
      <w:r>
        <w:rPr>
          <w:rFonts w:hint="eastAsia" w:ascii="宋体" w:hAnsi="宋体" w:eastAsia="宋体" w:cs="宋体"/>
          <w:b/>
          <w:color w:val="auto"/>
          <w:sz w:val="21"/>
          <w:szCs w:val="21"/>
          <w:highlight w:val="none"/>
        </w:rPr>
        <w:t>三、</w:t>
      </w:r>
      <w:bookmarkEnd w:id="15"/>
      <w:r>
        <w:rPr>
          <w:rFonts w:hint="eastAsia" w:ascii="宋体" w:hAnsi="宋体" w:eastAsia="宋体" w:cs="宋体"/>
          <w:b/>
          <w:color w:val="auto"/>
          <w:sz w:val="21"/>
          <w:szCs w:val="21"/>
          <w:highlight w:val="none"/>
          <w:lang w:eastAsia="zh-CN"/>
        </w:rPr>
        <w:t>投标文件</w:t>
      </w:r>
    </w:p>
    <w:p w14:paraId="13AA3FB5">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13.一般要求</w:t>
      </w:r>
    </w:p>
    <w:p w14:paraId="1A71F834">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13.1 </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应仔细阅读</w:t>
      </w:r>
      <w:r>
        <w:rPr>
          <w:rFonts w:hint="eastAsia" w:ascii="宋体" w:hAnsi="宋体" w:eastAsia="宋体" w:cs="宋体"/>
          <w:color w:val="auto"/>
          <w:sz w:val="21"/>
          <w:szCs w:val="21"/>
          <w:highlight w:val="none"/>
        </w:rPr>
        <w:t>比选</w:t>
      </w:r>
      <w:r>
        <w:rPr>
          <w:rFonts w:hint="eastAsia" w:ascii="宋体" w:hAnsi="宋体" w:eastAsia="宋体" w:cs="宋体"/>
          <w:bCs/>
          <w:color w:val="auto"/>
          <w:sz w:val="21"/>
          <w:szCs w:val="21"/>
          <w:highlight w:val="none"/>
        </w:rPr>
        <w:t>文件的所有内容，按</w:t>
      </w:r>
      <w:r>
        <w:rPr>
          <w:rFonts w:hint="eastAsia" w:ascii="宋体" w:hAnsi="宋体" w:eastAsia="宋体" w:cs="宋体"/>
          <w:color w:val="auto"/>
          <w:sz w:val="21"/>
          <w:szCs w:val="21"/>
          <w:highlight w:val="none"/>
        </w:rPr>
        <w:t>比选</w:t>
      </w:r>
      <w:r>
        <w:rPr>
          <w:rFonts w:hint="eastAsia" w:ascii="宋体" w:hAnsi="宋体" w:eastAsia="宋体" w:cs="宋体"/>
          <w:bCs/>
          <w:color w:val="auto"/>
          <w:sz w:val="21"/>
          <w:szCs w:val="21"/>
          <w:highlight w:val="none"/>
        </w:rPr>
        <w:t>文件的要求编制</w:t>
      </w:r>
      <w:r>
        <w:rPr>
          <w:rFonts w:hint="eastAsia" w:ascii="宋体" w:hAnsi="宋体" w:eastAsia="宋体" w:cs="宋体"/>
          <w:bCs/>
          <w:color w:val="auto"/>
          <w:sz w:val="21"/>
          <w:szCs w:val="21"/>
          <w:highlight w:val="none"/>
          <w:lang w:eastAsia="zh-CN"/>
        </w:rPr>
        <w:t>投标文件</w:t>
      </w:r>
      <w:r>
        <w:rPr>
          <w:rFonts w:hint="eastAsia" w:ascii="宋体" w:hAnsi="宋体" w:eastAsia="宋体" w:cs="宋体"/>
          <w:bCs/>
          <w:color w:val="auto"/>
          <w:sz w:val="21"/>
          <w:szCs w:val="21"/>
          <w:highlight w:val="none"/>
        </w:rPr>
        <w:t>，并保证所提供的全部资料的真实性，以使其</w:t>
      </w:r>
      <w:r>
        <w:rPr>
          <w:rFonts w:hint="eastAsia" w:ascii="宋体" w:hAnsi="宋体" w:eastAsia="宋体" w:cs="宋体"/>
          <w:bCs/>
          <w:color w:val="auto"/>
          <w:sz w:val="21"/>
          <w:szCs w:val="21"/>
          <w:highlight w:val="none"/>
          <w:lang w:eastAsia="zh-CN"/>
        </w:rPr>
        <w:t>投标文件</w:t>
      </w:r>
      <w:r>
        <w:rPr>
          <w:rFonts w:hint="eastAsia" w:ascii="宋体" w:hAnsi="宋体" w:eastAsia="宋体" w:cs="宋体"/>
          <w:bCs/>
          <w:color w:val="auto"/>
          <w:sz w:val="21"/>
          <w:szCs w:val="21"/>
          <w:highlight w:val="none"/>
        </w:rPr>
        <w:t>对</w:t>
      </w:r>
      <w:r>
        <w:rPr>
          <w:rFonts w:hint="eastAsia" w:ascii="宋体" w:hAnsi="宋体" w:eastAsia="宋体" w:cs="宋体"/>
          <w:color w:val="auto"/>
          <w:sz w:val="21"/>
          <w:szCs w:val="21"/>
          <w:highlight w:val="none"/>
        </w:rPr>
        <w:t>比选</w:t>
      </w:r>
      <w:r>
        <w:rPr>
          <w:rFonts w:hint="eastAsia" w:ascii="宋体" w:hAnsi="宋体" w:eastAsia="宋体" w:cs="宋体"/>
          <w:bCs/>
          <w:color w:val="auto"/>
          <w:sz w:val="21"/>
          <w:szCs w:val="21"/>
          <w:highlight w:val="none"/>
        </w:rPr>
        <w:t>文件做出实质性的响应。</w:t>
      </w:r>
    </w:p>
    <w:p w14:paraId="0BA0F505">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13.2 </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提交的</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与</w:t>
      </w:r>
      <w:r>
        <w:rPr>
          <w:rFonts w:hint="eastAsia" w:ascii="宋体" w:hAnsi="宋体" w:eastAsia="宋体" w:cs="宋体"/>
          <w:color w:val="auto"/>
          <w:sz w:val="21"/>
          <w:szCs w:val="21"/>
          <w:highlight w:val="none"/>
          <w:lang w:eastAsia="zh-CN"/>
        </w:rPr>
        <w:t>招募人</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招募代理机构</w:t>
      </w:r>
      <w:r>
        <w:rPr>
          <w:rFonts w:hint="eastAsia" w:ascii="宋体" w:hAnsi="宋体" w:eastAsia="宋体" w:cs="宋体"/>
          <w:color w:val="auto"/>
          <w:sz w:val="21"/>
          <w:szCs w:val="21"/>
          <w:highlight w:val="none"/>
        </w:rPr>
        <w:t>、评标委员会就有关比选的所有来往函电均使用中文。</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可以提交其它语言的资料，但应附中文注释，在有差异时以中文为准。</w:t>
      </w:r>
    </w:p>
    <w:p w14:paraId="58FFB956">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bCs/>
          <w:color w:val="auto"/>
          <w:spacing w:val="0"/>
          <w:kern w:val="2"/>
          <w:sz w:val="21"/>
          <w:szCs w:val="21"/>
          <w:highlight w:val="none"/>
        </w:rPr>
        <w:t xml:space="preserve">13.3 </w:t>
      </w:r>
      <w:r>
        <w:rPr>
          <w:rFonts w:hint="eastAsia" w:ascii="宋体" w:hAnsi="宋体" w:eastAsia="宋体" w:cs="宋体"/>
          <w:color w:val="auto"/>
          <w:spacing w:val="0"/>
          <w:kern w:val="2"/>
          <w:sz w:val="21"/>
          <w:szCs w:val="21"/>
          <w:highlight w:val="none"/>
        </w:rPr>
        <w:t>计量单位应使用我国法定计量单位，未列明时应默认为我国法定计量单位。</w:t>
      </w:r>
    </w:p>
    <w:p w14:paraId="010DD437">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 xml:space="preserve">13.4 </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应按</w:t>
      </w:r>
      <w:r>
        <w:rPr>
          <w:rFonts w:hint="eastAsia" w:ascii="宋体" w:hAnsi="宋体" w:eastAsia="宋体" w:cs="宋体"/>
          <w:color w:val="auto"/>
          <w:spacing w:val="0"/>
          <w:kern w:val="2"/>
          <w:sz w:val="21"/>
          <w:szCs w:val="21"/>
          <w:highlight w:val="none"/>
          <w:lang w:eastAsia="zh-CN"/>
        </w:rPr>
        <w:t>比选邀请通知</w:t>
      </w:r>
      <w:r>
        <w:rPr>
          <w:rFonts w:hint="eastAsia" w:ascii="宋体" w:hAnsi="宋体" w:eastAsia="宋体" w:cs="宋体"/>
          <w:color w:val="auto"/>
          <w:spacing w:val="0"/>
          <w:kern w:val="2"/>
          <w:sz w:val="21"/>
          <w:szCs w:val="21"/>
          <w:highlight w:val="none"/>
        </w:rPr>
        <w:t>的要求编制递交，</w:t>
      </w:r>
      <w:r>
        <w:rPr>
          <w:rFonts w:hint="eastAsia" w:ascii="宋体" w:hAnsi="宋体" w:eastAsia="宋体" w:cs="宋体"/>
          <w:color w:val="auto"/>
          <w:spacing w:val="0"/>
          <w:kern w:val="2"/>
          <w:sz w:val="21"/>
          <w:szCs w:val="21"/>
          <w:highlight w:val="none"/>
          <w:lang w:eastAsia="zh-CN"/>
        </w:rPr>
        <w:t>招募人或招募代理机构</w:t>
      </w:r>
      <w:r>
        <w:rPr>
          <w:rFonts w:hint="eastAsia" w:ascii="宋体" w:hAnsi="宋体" w:eastAsia="宋体" w:cs="宋体"/>
          <w:color w:val="auto"/>
          <w:spacing w:val="0"/>
          <w:kern w:val="2"/>
          <w:sz w:val="21"/>
          <w:szCs w:val="21"/>
          <w:highlight w:val="none"/>
        </w:rPr>
        <w:t>概不接受电报、传真、电子邮件形式的</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w:t>
      </w:r>
    </w:p>
    <w:p w14:paraId="517655AB">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13.5 </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应按比选文件中提供的</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格式填写。</w:t>
      </w:r>
    </w:p>
    <w:p w14:paraId="6FB6A333">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14.</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bCs/>
          <w:color w:val="auto"/>
          <w:sz w:val="21"/>
          <w:szCs w:val="21"/>
          <w:highlight w:val="none"/>
        </w:rPr>
        <w:t>的组成</w:t>
      </w:r>
    </w:p>
    <w:p w14:paraId="6CFAECC9">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 xml:space="preserve">14.1 </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包括下列内容：</w:t>
      </w:r>
    </w:p>
    <w:p w14:paraId="7E37198F">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（1）比选响应声明</w:t>
      </w:r>
    </w:p>
    <w:p w14:paraId="43C10E85">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（2）投标保证金</w:t>
      </w:r>
    </w:p>
    <w:p w14:paraId="7F7C4E1A">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（3）</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的资格证明文件</w:t>
      </w:r>
    </w:p>
    <w:p w14:paraId="0B67E2F3">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kern w:val="2"/>
          <w:sz w:val="21"/>
          <w:szCs w:val="21"/>
          <w:highlight w:val="none"/>
        </w:rPr>
        <w:t>（4）</w:t>
      </w:r>
      <w:r>
        <w:rPr>
          <w:rFonts w:hint="eastAsia" w:ascii="宋体" w:hAnsi="宋体" w:eastAsia="宋体" w:cs="宋体"/>
          <w:bCs/>
          <w:color w:val="auto"/>
          <w:spacing w:val="0"/>
          <w:kern w:val="2"/>
          <w:sz w:val="21"/>
          <w:szCs w:val="21"/>
          <w:highlight w:val="none"/>
          <w:lang w:eastAsia="zh-CN"/>
        </w:rPr>
        <w:t>服务方案说明</w:t>
      </w:r>
    </w:p>
    <w:p w14:paraId="342B67F1">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（5）技术/商务响应与偏离表</w:t>
      </w:r>
    </w:p>
    <w:p w14:paraId="183FCC88">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（6）符合比选文件规定的证明文件</w:t>
      </w:r>
    </w:p>
    <w:p w14:paraId="4F9764D4">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（7）报价一览表及报价文件，以及规定格式的报价一览表及报价文件的电子文件</w:t>
      </w:r>
    </w:p>
    <w:p w14:paraId="40FF7911">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（8）</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认为需提供的其他资料</w:t>
      </w:r>
    </w:p>
    <w:p w14:paraId="14EFF523">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14.2比选</w:t>
      </w:r>
      <w:r>
        <w:rPr>
          <w:rFonts w:hint="eastAsia" w:ascii="宋体" w:hAnsi="宋体" w:eastAsia="宋体" w:cs="宋体"/>
          <w:color w:val="auto"/>
          <w:kern w:val="0"/>
          <w:sz w:val="21"/>
          <w:szCs w:val="21"/>
          <w:highlight w:val="none"/>
        </w:rPr>
        <w:t>文件规定可能发生实质性变动的，</w:t>
      </w:r>
      <w:r>
        <w:rPr>
          <w:rFonts w:hint="eastAsia" w:ascii="宋体" w:hAnsi="宋体" w:eastAsia="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应当在</w:t>
      </w:r>
      <w:r>
        <w:rPr>
          <w:rFonts w:hint="eastAsia" w:ascii="宋体" w:hAnsi="宋体" w:eastAsia="宋体" w:cs="宋体"/>
          <w:color w:val="auto"/>
          <w:sz w:val="21"/>
          <w:szCs w:val="21"/>
          <w:highlight w:val="none"/>
        </w:rPr>
        <w:t>《技术响应与偏离表》、《商务响应与偏离表》中对应内容注明。</w:t>
      </w:r>
    </w:p>
    <w:p w14:paraId="76E9E5BB">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14.3</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无论成交与否，其</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不予退还。</w:t>
      </w:r>
    </w:p>
    <w:p w14:paraId="3F96573F">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15.报价</w:t>
      </w:r>
    </w:p>
    <w:p w14:paraId="4A22FE18">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rPr>
        <w:t>15.1投标人应当根据比选文件要求和范围，以分成比例报价，以%为单位，保留小数点后两位。</w:t>
      </w:r>
    </w:p>
    <w:p w14:paraId="4185633A">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rPr>
        <w:t>15.2报价一览表、分项报价表填写报价时应注意下列要求：</w:t>
      </w:r>
    </w:p>
    <w:p w14:paraId="7D01AA84">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rPr>
        <w:t>（1）</w:t>
      </w:r>
      <w:r>
        <w:rPr>
          <w:rFonts w:hint="eastAsia" w:ascii="宋体" w:hAnsi="宋体" w:eastAsia="宋体" w:cs="宋体"/>
          <w:color w:val="auto"/>
          <w:spacing w:val="0"/>
          <w:kern w:val="2"/>
          <w:sz w:val="21"/>
          <w:szCs w:val="21"/>
          <w:highlight w:val="none"/>
          <w:lang w:eastAsia="zh-CN"/>
        </w:rPr>
        <w:t>招募</w:t>
      </w:r>
      <w:r>
        <w:rPr>
          <w:rFonts w:hint="eastAsia" w:ascii="宋体" w:hAnsi="宋体" w:eastAsia="宋体" w:cs="宋体"/>
          <w:color w:val="auto"/>
          <w:spacing w:val="0"/>
          <w:kern w:val="2"/>
          <w:sz w:val="21"/>
          <w:szCs w:val="21"/>
          <w:highlight w:val="none"/>
        </w:rPr>
        <w:t>文件要求的调试、培训及其它附加服务的费用。</w:t>
      </w:r>
    </w:p>
    <w:p w14:paraId="512E557C">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rPr>
        <w:t>（2）所有根据合同或其它原因应由投标人支付和交纳的税款和费用。</w:t>
      </w:r>
    </w:p>
    <w:p w14:paraId="3AE29BC1">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rPr>
        <w:t>（3）比选文件指定相关服务的人员劳务、福利、交通、差旅等费用。</w:t>
      </w:r>
    </w:p>
    <w:p w14:paraId="6BFBFE31">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rPr>
        <w:t>15.3投标人应按第五章“</w:t>
      </w:r>
      <w:r>
        <w:rPr>
          <w:rFonts w:hint="eastAsia" w:ascii="宋体" w:hAnsi="宋体" w:eastAsia="宋体" w:cs="宋体"/>
          <w:color w:val="auto"/>
          <w:spacing w:val="0"/>
          <w:kern w:val="2"/>
          <w:sz w:val="21"/>
          <w:szCs w:val="21"/>
          <w:highlight w:val="none"/>
          <w:lang w:eastAsia="zh-CN"/>
        </w:rPr>
        <w:t>招募</w:t>
      </w:r>
      <w:r>
        <w:rPr>
          <w:rFonts w:hint="eastAsia" w:ascii="宋体" w:hAnsi="宋体" w:eastAsia="宋体" w:cs="宋体"/>
          <w:color w:val="auto"/>
          <w:spacing w:val="0"/>
          <w:kern w:val="2"/>
          <w:sz w:val="21"/>
          <w:szCs w:val="21"/>
          <w:highlight w:val="none"/>
        </w:rPr>
        <w:t>需求”要求及第六章“投标文件组成”格式填写。投标人在本章第12.1款规定的提交投标文件截止之日前修改报价一览表中的报价，应同时修改其按第五章要求填写的相应表格中的报价。此修改须符合本章第24.1款的有关要求。</w:t>
      </w:r>
    </w:p>
    <w:p w14:paraId="21D28B01">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rPr>
        <w:t>15.4投标文件中标明的价格在合同执行过程中是固定不变的，不得以任何理由予以变更。以可变动价格提交的报价将被认为是非实质响应而被拒绝。</w:t>
      </w:r>
    </w:p>
    <w:p w14:paraId="6DE0CFED">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15.5投标人的报价不得超过</w:t>
      </w:r>
      <w:r>
        <w:rPr>
          <w:rFonts w:hint="eastAsia" w:ascii="宋体" w:hAnsi="宋体" w:eastAsia="宋体" w:cs="宋体"/>
          <w:color w:val="auto"/>
          <w:spacing w:val="0"/>
          <w:kern w:val="2"/>
          <w:sz w:val="21"/>
          <w:szCs w:val="21"/>
          <w:highlight w:val="none"/>
          <w:lang w:eastAsia="zh-CN"/>
        </w:rPr>
        <w:t>招募</w:t>
      </w:r>
      <w:r>
        <w:rPr>
          <w:rFonts w:hint="eastAsia" w:ascii="宋体" w:hAnsi="宋体" w:eastAsia="宋体" w:cs="宋体"/>
          <w:color w:val="auto"/>
          <w:spacing w:val="0"/>
          <w:kern w:val="2"/>
          <w:sz w:val="21"/>
          <w:szCs w:val="21"/>
          <w:highlight w:val="none"/>
        </w:rPr>
        <w:t>项目预算，</w:t>
      </w:r>
      <w:r>
        <w:rPr>
          <w:rFonts w:hint="eastAsia" w:ascii="宋体" w:hAnsi="宋体" w:eastAsia="宋体" w:cs="宋体"/>
          <w:color w:val="auto"/>
          <w:spacing w:val="0"/>
          <w:kern w:val="2"/>
          <w:sz w:val="21"/>
          <w:szCs w:val="21"/>
          <w:highlight w:val="none"/>
          <w:lang w:eastAsia="zh-CN"/>
        </w:rPr>
        <w:t>招募</w:t>
      </w:r>
      <w:r>
        <w:rPr>
          <w:rFonts w:hint="eastAsia" w:ascii="宋体" w:hAnsi="宋体" w:eastAsia="宋体" w:cs="宋体"/>
          <w:color w:val="auto"/>
          <w:spacing w:val="0"/>
          <w:kern w:val="2"/>
          <w:sz w:val="21"/>
          <w:szCs w:val="21"/>
          <w:highlight w:val="none"/>
        </w:rPr>
        <w:t>项目预算或其计算方法见投标人须知前附表。</w:t>
      </w:r>
    </w:p>
    <w:p w14:paraId="047ACB59">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jc w:val="left"/>
        <w:textAlignment w:val="auto"/>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kern w:val="2"/>
          <w:sz w:val="21"/>
          <w:szCs w:val="21"/>
          <w:highlight w:val="none"/>
        </w:rPr>
        <w:t>16.</w:t>
      </w:r>
      <w:r>
        <w:rPr>
          <w:rFonts w:hint="eastAsia" w:ascii="宋体" w:hAnsi="宋体" w:eastAsia="宋体" w:cs="宋体"/>
          <w:b/>
          <w:snapToGrid w:val="0"/>
          <w:color w:val="auto"/>
          <w:spacing w:val="0"/>
          <w:kern w:val="2"/>
          <w:sz w:val="21"/>
          <w:szCs w:val="21"/>
          <w:highlight w:val="none"/>
          <w:lang w:eastAsia="zh-CN"/>
        </w:rPr>
        <w:t>投标人</w:t>
      </w:r>
      <w:r>
        <w:rPr>
          <w:rFonts w:hint="eastAsia" w:ascii="宋体" w:hAnsi="宋体" w:eastAsia="宋体" w:cs="宋体"/>
          <w:b/>
          <w:snapToGrid w:val="0"/>
          <w:color w:val="auto"/>
          <w:spacing w:val="0"/>
          <w:kern w:val="2"/>
          <w:sz w:val="21"/>
          <w:szCs w:val="21"/>
          <w:highlight w:val="none"/>
        </w:rPr>
        <w:t>符合</w:t>
      </w:r>
      <w:r>
        <w:rPr>
          <w:rFonts w:hint="eastAsia" w:ascii="宋体" w:hAnsi="宋体" w:eastAsia="宋体" w:cs="宋体"/>
          <w:b/>
          <w:color w:val="auto"/>
          <w:spacing w:val="0"/>
          <w:kern w:val="2"/>
          <w:sz w:val="21"/>
          <w:szCs w:val="21"/>
          <w:highlight w:val="none"/>
        </w:rPr>
        <w:t>比选</w:t>
      </w:r>
      <w:r>
        <w:rPr>
          <w:rFonts w:hint="eastAsia" w:ascii="宋体" w:hAnsi="宋体" w:eastAsia="宋体" w:cs="宋体"/>
          <w:b/>
          <w:snapToGrid w:val="0"/>
          <w:color w:val="auto"/>
          <w:spacing w:val="0"/>
          <w:kern w:val="2"/>
          <w:sz w:val="21"/>
          <w:szCs w:val="21"/>
          <w:highlight w:val="none"/>
        </w:rPr>
        <w:t>文件规定的证明文件</w:t>
      </w:r>
    </w:p>
    <w:p w14:paraId="1D41936D">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16.1投标人满足比选文件资格条件要求。</w:t>
      </w:r>
    </w:p>
    <w:p w14:paraId="7124407C">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zh-CN"/>
        </w:rPr>
        <w:t>16.2投标人为联合体形式的，则应提交联合体各方资格文件、联合体协议，否则将视为非实质响应而被拒绝。</w:t>
      </w:r>
    </w:p>
    <w:p w14:paraId="680E4B77">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17.投标保证金</w:t>
      </w:r>
    </w:p>
    <w:p w14:paraId="6CB017FB">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17.1</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在递交</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的同时，应当按照</w:t>
      </w:r>
      <w:r>
        <w:rPr>
          <w:rFonts w:hint="eastAsia" w:ascii="宋体" w:hAnsi="宋体" w:eastAsia="宋体" w:cs="宋体"/>
          <w:b/>
          <w:color w:val="auto"/>
          <w:spacing w:val="0"/>
          <w:kern w:val="2"/>
          <w:sz w:val="21"/>
          <w:szCs w:val="21"/>
          <w:highlight w:val="none"/>
          <w:lang w:eastAsia="zh-CN"/>
        </w:rPr>
        <w:t>投标人</w:t>
      </w:r>
      <w:r>
        <w:rPr>
          <w:rFonts w:hint="eastAsia" w:ascii="宋体" w:hAnsi="宋体" w:eastAsia="宋体" w:cs="宋体"/>
          <w:b/>
          <w:color w:val="auto"/>
          <w:spacing w:val="0"/>
          <w:kern w:val="2"/>
          <w:sz w:val="21"/>
          <w:szCs w:val="21"/>
          <w:highlight w:val="none"/>
        </w:rPr>
        <w:t>须知前附表</w:t>
      </w:r>
      <w:r>
        <w:rPr>
          <w:rFonts w:hint="eastAsia" w:ascii="宋体" w:hAnsi="宋体" w:eastAsia="宋体" w:cs="宋体"/>
          <w:color w:val="auto"/>
          <w:spacing w:val="0"/>
          <w:kern w:val="2"/>
          <w:sz w:val="21"/>
          <w:szCs w:val="21"/>
          <w:highlight w:val="none"/>
        </w:rPr>
        <w:t>规定递交</w:t>
      </w:r>
      <w:r>
        <w:rPr>
          <w:rFonts w:hint="eastAsia" w:ascii="宋体" w:hAnsi="宋体" w:eastAsia="宋体" w:cs="宋体"/>
          <w:bCs/>
          <w:color w:val="auto"/>
          <w:spacing w:val="0"/>
          <w:kern w:val="2"/>
          <w:sz w:val="21"/>
          <w:szCs w:val="21"/>
          <w:highlight w:val="none"/>
        </w:rPr>
        <w:t>投标保证金，并作为</w:t>
      </w:r>
      <w:r>
        <w:rPr>
          <w:rFonts w:hint="eastAsia" w:ascii="宋体" w:hAnsi="宋体" w:eastAsia="宋体" w:cs="宋体"/>
          <w:bCs/>
          <w:color w:val="auto"/>
          <w:spacing w:val="0"/>
          <w:kern w:val="2"/>
          <w:sz w:val="21"/>
          <w:szCs w:val="21"/>
          <w:highlight w:val="none"/>
          <w:lang w:eastAsia="zh-CN"/>
        </w:rPr>
        <w:t>投标文件</w:t>
      </w:r>
      <w:r>
        <w:rPr>
          <w:rFonts w:hint="eastAsia" w:ascii="宋体" w:hAnsi="宋体" w:eastAsia="宋体" w:cs="宋体"/>
          <w:bCs/>
          <w:color w:val="auto"/>
          <w:spacing w:val="0"/>
          <w:kern w:val="2"/>
          <w:sz w:val="21"/>
          <w:szCs w:val="21"/>
          <w:highlight w:val="none"/>
        </w:rPr>
        <w:t>的组成部分。</w:t>
      </w:r>
      <w:r>
        <w:rPr>
          <w:rFonts w:hint="eastAsia" w:ascii="宋体" w:hAnsi="宋体" w:eastAsia="宋体" w:cs="宋体"/>
          <w:color w:val="auto"/>
          <w:spacing w:val="0"/>
          <w:kern w:val="2"/>
          <w:sz w:val="21"/>
          <w:szCs w:val="21"/>
          <w:highlight w:val="none"/>
        </w:rPr>
        <w:t>投标保证金有效期应当与规定的</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有效期一致。</w:t>
      </w:r>
    </w:p>
    <w:p w14:paraId="50AA993F">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17.2</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为联合体的，可以由联合体牵头人或者共同交纳投标保证金，其交纳的投标保证金，对联合体各方均具有约束力。</w:t>
      </w:r>
    </w:p>
    <w:p w14:paraId="052E4CCC">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17.3 未按比选文件规定提交投标保证金的，</w:t>
      </w:r>
      <w:r>
        <w:rPr>
          <w:rFonts w:hint="eastAsia" w:ascii="宋体" w:hAnsi="宋体" w:eastAsia="宋体" w:cs="宋体"/>
          <w:color w:val="auto"/>
          <w:spacing w:val="0"/>
          <w:kern w:val="2"/>
          <w:sz w:val="21"/>
          <w:szCs w:val="21"/>
          <w:highlight w:val="none"/>
          <w:lang w:eastAsia="zh-CN"/>
        </w:rPr>
        <w:t>招募人</w:t>
      </w:r>
      <w:r>
        <w:rPr>
          <w:rFonts w:hint="eastAsia" w:ascii="宋体" w:hAnsi="宋体" w:eastAsia="宋体" w:cs="宋体"/>
          <w:color w:val="auto"/>
          <w:spacing w:val="0"/>
          <w:kern w:val="2"/>
          <w:sz w:val="21"/>
          <w:szCs w:val="21"/>
          <w:highlight w:val="none"/>
        </w:rPr>
        <w:t>或</w:t>
      </w:r>
      <w:r>
        <w:rPr>
          <w:rFonts w:hint="eastAsia" w:ascii="宋体" w:hAnsi="宋体" w:eastAsia="宋体" w:cs="宋体"/>
          <w:color w:val="auto"/>
          <w:spacing w:val="0"/>
          <w:kern w:val="2"/>
          <w:sz w:val="21"/>
          <w:szCs w:val="21"/>
          <w:highlight w:val="none"/>
          <w:lang w:eastAsia="zh-CN"/>
        </w:rPr>
        <w:t>招募代理机构</w:t>
      </w:r>
      <w:r>
        <w:rPr>
          <w:rFonts w:hint="eastAsia" w:ascii="宋体" w:hAnsi="宋体" w:eastAsia="宋体" w:cs="宋体"/>
          <w:color w:val="auto"/>
          <w:spacing w:val="0"/>
          <w:kern w:val="2"/>
          <w:sz w:val="21"/>
          <w:szCs w:val="21"/>
          <w:highlight w:val="none"/>
        </w:rPr>
        <w:t>应当拒绝接收</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的</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w:t>
      </w:r>
    </w:p>
    <w:p w14:paraId="2841E379">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17.4</w:t>
      </w:r>
      <w:r>
        <w:rPr>
          <w:rFonts w:hint="eastAsia" w:ascii="宋体" w:hAnsi="宋体" w:eastAsia="宋体" w:cs="宋体"/>
          <w:color w:val="auto"/>
          <w:spacing w:val="0"/>
          <w:kern w:val="2"/>
          <w:sz w:val="21"/>
          <w:szCs w:val="21"/>
          <w:highlight w:val="none"/>
          <w:lang w:eastAsia="zh-CN"/>
        </w:rPr>
        <w:t>招募代理机构</w:t>
      </w:r>
      <w:r>
        <w:rPr>
          <w:rFonts w:hint="eastAsia" w:ascii="宋体" w:hAnsi="宋体" w:eastAsia="宋体" w:cs="宋体"/>
          <w:color w:val="auto"/>
          <w:spacing w:val="0"/>
          <w:kern w:val="2"/>
          <w:sz w:val="21"/>
          <w:szCs w:val="21"/>
          <w:highlight w:val="none"/>
        </w:rPr>
        <w:t>在</w:t>
      </w:r>
      <w:r>
        <w:rPr>
          <w:rFonts w:hint="eastAsia" w:ascii="宋体" w:hAnsi="宋体" w:eastAsia="宋体" w:cs="宋体"/>
          <w:color w:val="auto"/>
          <w:spacing w:val="0"/>
          <w:kern w:val="2"/>
          <w:sz w:val="21"/>
          <w:szCs w:val="21"/>
          <w:highlight w:val="none"/>
          <w:lang w:eastAsia="zh-CN"/>
        </w:rPr>
        <w:t>中标通知</w:t>
      </w:r>
      <w:r>
        <w:rPr>
          <w:rFonts w:hint="eastAsia" w:ascii="宋体" w:hAnsi="宋体" w:eastAsia="宋体" w:cs="宋体"/>
          <w:color w:val="auto"/>
          <w:spacing w:val="0"/>
          <w:kern w:val="2"/>
          <w:sz w:val="21"/>
          <w:szCs w:val="21"/>
          <w:highlight w:val="none"/>
        </w:rPr>
        <w:t>书发出后5个工作日内无息退还未</w:t>
      </w:r>
      <w:r>
        <w:rPr>
          <w:rFonts w:hint="eastAsia" w:ascii="宋体" w:hAnsi="宋体" w:eastAsia="宋体" w:cs="宋体"/>
          <w:color w:val="auto"/>
          <w:spacing w:val="0"/>
          <w:kern w:val="2"/>
          <w:sz w:val="21"/>
          <w:szCs w:val="21"/>
          <w:highlight w:val="none"/>
          <w:lang w:eastAsia="zh-CN"/>
        </w:rPr>
        <w:t>中标供应商</w:t>
      </w:r>
      <w:r>
        <w:rPr>
          <w:rFonts w:hint="eastAsia" w:ascii="宋体" w:hAnsi="宋体" w:eastAsia="宋体" w:cs="宋体"/>
          <w:color w:val="auto"/>
          <w:spacing w:val="0"/>
          <w:kern w:val="2"/>
          <w:sz w:val="21"/>
          <w:szCs w:val="21"/>
          <w:highlight w:val="none"/>
        </w:rPr>
        <w:t>的投标保证金；在采购合同签定后5个工作日内退还</w:t>
      </w:r>
      <w:r>
        <w:rPr>
          <w:rFonts w:hint="eastAsia" w:ascii="宋体" w:hAnsi="宋体" w:eastAsia="宋体" w:cs="宋体"/>
          <w:color w:val="auto"/>
          <w:spacing w:val="0"/>
          <w:kern w:val="2"/>
          <w:sz w:val="21"/>
          <w:szCs w:val="21"/>
          <w:highlight w:val="none"/>
          <w:lang w:eastAsia="zh-CN"/>
        </w:rPr>
        <w:t>中标供应商</w:t>
      </w:r>
      <w:r>
        <w:rPr>
          <w:rFonts w:hint="eastAsia" w:ascii="宋体" w:hAnsi="宋体" w:eastAsia="宋体" w:cs="宋体"/>
          <w:color w:val="auto"/>
          <w:spacing w:val="0"/>
          <w:kern w:val="2"/>
          <w:sz w:val="21"/>
          <w:szCs w:val="21"/>
          <w:highlight w:val="none"/>
        </w:rPr>
        <w:t>的投标保证金，但因</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自身原因导致无法及时退还的除外。</w:t>
      </w:r>
    </w:p>
    <w:p w14:paraId="7DA37567">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17.5 有下列情形之一的，投标保证金不予退还：</w:t>
      </w:r>
    </w:p>
    <w:p w14:paraId="18FE4B70">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（1）</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在规定的比选开始之日后撤回</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的；</w:t>
      </w:r>
    </w:p>
    <w:p w14:paraId="7D9C343C">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（2）</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在</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中提供虚假材料或虚假承诺的；</w:t>
      </w:r>
    </w:p>
    <w:p w14:paraId="56F26CC0">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（3）确定成交结果后，无正当理由放弃成交资格的；</w:t>
      </w:r>
    </w:p>
    <w:p w14:paraId="54BBEFBD">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（4）</w:t>
      </w:r>
      <w:r>
        <w:rPr>
          <w:rFonts w:hint="eastAsia" w:ascii="宋体" w:hAnsi="宋体" w:eastAsia="宋体" w:cs="宋体"/>
          <w:color w:val="auto"/>
          <w:spacing w:val="0"/>
          <w:kern w:val="2"/>
          <w:sz w:val="21"/>
          <w:szCs w:val="21"/>
          <w:highlight w:val="none"/>
          <w:lang w:eastAsia="zh-CN"/>
        </w:rPr>
        <w:t>中标供应商</w:t>
      </w:r>
      <w:r>
        <w:rPr>
          <w:rFonts w:hint="eastAsia" w:ascii="宋体" w:hAnsi="宋体" w:eastAsia="宋体" w:cs="宋体"/>
          <w:color w:val="auto"/>
          <w:spacing w:val="0"/>
          <w:kern w:val="2"/>
          <w:sz w:val="21"/>
          <w:szCs w:val="21"/>
          <w:highlight w:val="none"/>
        </w:rPr>
        <w:t>无正当理由不与</w:t>
      </w:r>
      <w:r>
        <w:rPr>
          <w:rFonts w:hint="eastAsia" w:ascii="宋体" w:hAnsi="宋体" w:eastAsia="宋体" w:cs="宋体"/>
          <w:color w:val="auto"/>
          <w:spacing w:val="0"/>
          <w:kern w:val="2"/>
          <w:sz w:val="21"/>
          <w:szCs w:val="21"/>
          <w:highlight w:val="none"/>
          <w:lang w:eastAsia="zh-CN"/>
        </w:rPr>
        <w:t>招募人</w:t>
      </w:r>
      <w:r>
        <w:rPr>
          <w:rFonts w:hint="eastAsia" w:ascii="宋体" w:hAnsi="宋体" w:eastAsia="宋体" w:cs="宋体"/>
          <w:color w:val="auto"/>
          <w:spacing w:val="0"/>
          <w:kern w:val="2"/>
          <w:sz w:val="21"/>
          <w:szCs w:val="21"/>
          <w:highlight w:val="none"/>
        </w:rPr>
        <w:t>签订合同的，或转让项目以及拒绝履行合同义务的；</w:t>
      </w:r>
    </w:p>
    <w:p w14:paraId="042AE7FB">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（5）</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与</w:t>
      </w:r>
      <w:r>
        <w:rPr>
          <w:rFonts w:hint="eastAsia" w:ascii="宋体" w:hAnsi="宋体" w:eastAsia="宋体" w:cs="宋体"/>
          <w:color w:val="auto"/>
          <w:spacing w:val="0"/>
          <w:kern w:val="2"/>
          <w:sz w:val="21"/>
          <w:szCs w:val="21"/>
          <w:highlight w:val="none"/>
          <w:lang w:eastAsia="zh-CN"/>
        </w:rPr>
        <w:t>招募人</w:t>
      </w:r>
      <w:r>
        <w:rPr>
          <w:rFonts w:hint="eastAsia" w:ascii="宋体" w:hAnsi="宋体" w:eastAsia="宋体" w:cs="宋体"/>
          <w:color w:val="auto"/>
          <w:spacing w:val="0"/>
          <w:kern w:val="2"/>
          <w:sz w:val="21"/>
          <w:szCs w:val="21"/>
          <w:highlight w:val="none"/>
        </w:rPr>
        <w:t>、其他</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或者</w:t>
      </w:r>
      <w:r>
        <w:rPr>
          <w:rFonts w:hint="eastAsia" w:ascii="宋体" w:hAnsi="宋体" w:eastAsia="宋体" w:cs="宋体"/>
          <w:color w:val="auto"/>
          <w:spacing w:val="0"/>
          <w:kern w:val="2"/>
          <w:sz w:val="21"/>
          <w:szCs w:val="21"/>
          <w:highlight w:val="none"/>
          <w:lang w:eastAsia="zh-CN"/>
        </w:rPr>
        <w:t>招募代理机构</w:t>
      </w:r>
      <w:r>
        <w:rPr>
          <w:rFonts w:hint="eastAsia" w:ascii="宋体" w:hAnsi="宋体" w:eastAsia="宋体" w:cs="宋体"/>
          <w:color w:val="auto"/>
          <w:spacing w:val="0"/>
          <w:kern w:val="2"/>
          <w:sz w:val="21"/>
          <w:szCs w:val="21"/>
          <w:highlight w:val="none"/>
        </w:rPr>
        <w:t>恶意串通的；</w:t>
      </w:r>
    </w:p>
    <w:p w14:paraId="04C87869">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（6）比选文件规定的其他情形。</w:t>
      </w:r>
    </w:p>
    <w:p w14:paraId="64703B7F">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18.</w:t>
      </w:r>
      <w:r>
        <w:rPr>
          <w:rFonts w:hint="eastAsia" w:ascii="宋体" w:hAnsi="宋体" w:eastAsia="宋体" w:cs="宋体"/>
          <w:color w:val="auto"/>
          <w:sz w:val="21"/>
          <w:szCs w:val="21"/>
          <w:highlight w:val="none"/>
        </w:rPr>
        <w:t xml:space="preserve"> </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有效期</w:t>
      </w:r>
    </w:p>
    <w:p w14:paraId="456DD72D">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有效期见</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须知前附表</w:t>
      </w:r>
      <w:r>
        <w:rPr>
          <w:rFonts w:hint="eastAsia" w:ascii="宋体" w:hAnsi="宋体" w:eastAsia="宋体" w:cs="宋体"/>
          <w:color w:val="auto"/>
          <w:sz w:val="21"/>
          <w:szCs w:val="21"/>
          <w:highlight w:val="none"/>
        </w:rPr>
        <w:t>，在此期间</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具有法律约束力，从规定的</w:t>
      </w:r>
      <w:r>
        <w:rPr>
          <w:rFonts w:hint="eastAsia" w:ascii="宋体" w:hAnsi="宋体" w:eastAsia="宋体" w:cs="宋体"/>
          <w:color w:val="auto"/>
          <w:kern w:val="0"/>
          <w:sz w:val="21"/>
          <w:szCs w:val="21"/>
          <w:highlight w:val="none"/>
        </w:rPr>
        <w:t>提交</w:t>
      </w:r>
      <w:r>
        <w:rPr>
          <w:rFonts w:hint="eastAsia" w:ascii="宋体" w:hAnsi="宋体" w:eastAsia="宋体" w:cs="宋体"/>
          <w:color w:val="auto"/>
          <w:kern w:val="0"/>
          <w:sz w:val="21"/>
          <w:szCs w:val="21"/>
          <w:highlight w:val="none"/>
          <w:lang w:eastAsia="zh-CN"/>
        </w:rPr>
        <w:t>投标文件</w:t>
      </w:r>
      <w:r>
        <w:rPr>
          <w:rFonts w:hint="eastAsia" w:ascii="宋体" w:hAnsi="宋体" w:eastAsia="宋体" w:cs="宋体"/>
          <w:color w:val="auto"/>
          <w:kern w:val="0"/>
          <w:sz w:val="21"/>
          <w:szCs w:val="21"/>
          <w:highlight w:val="none"/>
        </w:rPr>
        <w:t>截止时间</w:t>
      </w:r>
      <w:r>
        <w:rPr>
          <w:rFonts w:hint="eastAsia" w:ascii="宋体" w:hAnsi="宋体" w:eastAsia="宋体" w:cs="宋体"/>
          <w:color w:val="auto"/>
          <w:sz w:val="21"/>
          <w:szCs w:val="21"/>
          <w:highlight w:val="none"/>
        </w:rPr>
        <w:t>之日起计算。</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有效期不足的将被视为无效响应。</w:t>
      </w:r>
    </w:p>
    <w:p w14:paraId="7A7029B3">
      <w:pPr>
        <w:pStyle w:val="16"/>
        <w:keepNext w:val="0"/>
        <w:keepLines w:val="0"/>
        <w:pageBreakBefore w:val="0"/>
        <w:widowControl/>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18.2</w:t>
      </w:r>
      <w:r>
        <w:rPr>
          <w:rFonts w:hint="eastAsia" w:ascii="宋体" w:hAnsi="宋体" w:eastAsia="宋体" w:cs="宋体"/>
          <w:color w:val="auto"/>
          <w:spacing w:val="0"/>
          <w:sz w:val="21"/>
          <w:szCs w:val="21"/>
          <w:highlight w:val="none"/>
          <w:lang w:eastAsia="zh-CN"/>
        </w:rPr>
        <w:t>投标文件</w:t>
      </w:r>
      <w:r>
        <w:rPr>
          <w:rFonts w:hint="eastAsia" w:ascii="宋体" w:hAnsi="宋体" w:eastAsia="宋体" w:cs="宋体"/>
          <w:color w:val="auto"/>
          <w:spacing w:val="0"/>
          <w:sz w:val="21"/>
          <w:szCs w:val="21"/>
          <w:highlight w:val="none"/>
        </w:rPr>
        <w:t>有效期内，</w:t>
      </w:r>
      <w:r>
        <w:rPr>
          <w:rFonts w:hint="eastAsia" w:ascii="宋体" w:hAnsi="宋体" w:eastAsia="宋体" w:cs="宋体"/>
          <w:color w:val="auto"/>
          <w:spacing w:val="0"/>
          <w:sz w:val="21"/>
          <w:szCs w:val="21"/>
          <w:highlight w:val="none"/>
          <w:lang w:eastAsia="zh-CN"/>
        </w:rPr>
        <w:t>投标人</w:t>
      </w:r>
      <w:r>
        <w:rPr>
          <w:rFonts w:hint="eastAsia" w:ascii="宋体" w:hAnsi="宋体" w:eastAsia="宋体" w:cs="宋体"/>
          <w:color w:val="auto"/>
          <w:spacing w:val="0"/>
          <w:sz w:val="21"/>
          <w:szCs w:val="21"/>
          <w:highlight w:val="none"/>
        </w:rPr>
        <w:t>不得要求撤销或修改其</w:t>
      </w:r>
      <w:r>
        <w:rPr>
          <w:rFonts w:hint="eastAsia" w:ascii="宋体" w:hAnsi="宋体" w:eastAsia="宋体" w:cs="宋体"/>
          <w:color w:val="auto"/>
          <w:spacing w:val="0"/>
          <w:sz w:val="21"/>
          <w:szCs w:val="21"/>
          <w:highlight w:val="none"/>
          <w:lang w:eastAsia="zh-CN"/>
        </w:rPr>
        <w:t>投标文件</w:t>
      </w:r>
      <w:r>
        <w:rPr>
          <w:rFonts w:hint="eastAsia" w:ascii="宋体" w:hAnsi="宋体" w:eastAsia="宋体" w:cs="宋体"/>
          <w:color w:val="auto"/>
          <w:spacing w:val="0"/>
          <w:sz w:val="21"/>
          <w:szCs w:val="21"/>
          <w:highlight w:val="none"/>
        </w:rPr>
        <w:t>。</w:t>
      </w:r>
    </w:p>
    <w:p w14:paraId="32AC6FE7">
      <w:pPr>
        <w:pStyle w:val="16"/>
        <w:keepNext w:val="0"/>
        <w:keepLines w:val="0"/>
        <w:pageBreakBefore w:val="0"/>
        <w:widowControl/>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18.3出现特殊情况需要延长</w:t>
      </w:r>
      <w:r>
        <w:rPr>
          <w:rFonts w:hint="eastAsia" w:ascii="宋体" w:hAnsi="宋体" w:eastAsia="宋体" w:cs="宋体"/>
          <w:color w:val="auto"/>
          <w:spacing w:val="0"/>
          <w:sz w:val="21"/>
          <w:szCs w:val="21"/>
          <w:highlight w:val="none"/>
          <w:lang w:eastAsia="zh-CN"/>
        </w:rPr>
        <w:t>投标文件</w:t>
      </w:r>
      <w:r>
        <w:rPr>
          <w:rFonts w:hint="eastAsia" w:ascii="宋体" w:hAnsi="宋体" w:eastAsia="宋体" w:cs="宋体"/>
          <w:color w:val="auto"/>
          <w:spacing w:val="0"/>
          <w:sz w:val="21"/>
          <w:szCs w:val="21"/>
          <w:highlight w:val="none"/>
        </w:rPr>
        <w:t>有效期的，</w:t>
      </w:r>
      <w:r>
        <w:rPr>
          <w:rFonts w:hint="eastAsia" w:ascii="宋体" w:hAnsi="宋体" w:eastAsia="宋体" w:cs="宋体"/>
          <w:color w:val="auto"/>
          <w:spacing w:val="0"/>
          <w:sz w:val="21"/>
          <w:szCs w:val="21"/>
          <w:highlight w:val="none"/>
          <w:lang w:eastAsia="zh-CN"/>
        </w:rPr>
        <w:t>招募人</w:t>
      </w:r>
      <w:r>
        <w:rPr>
          <w:rFonts w:hint="eastAsia" w:ascii="宋体" w:hAnsi="宋体" w:eastAsia="宋体" w:cs="宋体"/>
          <w:color w:val="auto"/>
          <w:spacing w:val="0"/>
          <w:sz w:val="21"/>
          <w:szCs w:val="21"/>
          <w:highlight w:val="none"/>
        </w:rPr>
        <w:t>以书面形式通知所有</w:t>
      </w:r>
      <w:r>
        <w:rPr>
          <w:rFonts w:hint="eastAsia" w:ascii="宋体" w:hAnsi="宋体" w:eastAsia="宋体" w:cs="宋体"/>
          <w:color w:val="auto"/>
          <w:spacing w:val="0"/>
          <w:sz w:val="21"/>
          <w:szCs w:val="21"/>
          <w:highlight w:val="none"/>
          <w:lang w:eastAsia="zh-CN"/>
        </w:rPr>
        <w:t>投标人</w:t>
      </w:r>
      <w:r>
        <w:rPr>
          <w:rFonts w:hint="eastAsia" w:ascii="宋体" w:hAnsi="宋体" w:eastAsia="宋体" w:cs="宋体"/>
          <w:color w:val="auto"/>
          <w:spacing w:val="0"/>
          <w:sz w:val="21"/>
          <w:szCs w:val="21"/>
          <w:highlight w:val="none"/>
        </w:rPr>
        <w:t>延长</w:t>
      </w:r>
      <w:r>
        <w:rPr>
          <w:rFonts w:hint="eastAsia" w:ascii="宋体" w:hAnsi="宋体" w:eastAsia="宋体" w:cs="宋体"/>
          <w:color w:val="auto"/>
          <w:spacing w:val="0"/>
          <w:sz w:val="21"/>
          <w:szCs w:val="21"/>
          <w:highlight w:val="none"/>
          <w:lang w:eastAsia="zh-CN"/>
        </w:rPr>
        <w:t>投标文件</w:t>
      </w:r>
      <w:r>
        <w:rPr>
          <w:rFonts w:hint="eastAsia" w:ascii="宋体" w:hAnsi="宋体" w:eastAsia="宋体" w:cs="宋体"/>
          <w:color w:val="auto"/>
          <w:spacing w:val="0"/>
          <w:sz w:val="21"/>
          <w:szCs w:val="21"/>
          <w:highlight w:val="none"/>
        </w:rPr>
        <w:t>有效期。</w:t>
      </w:r>
      <w:r>
        <w:rPr>
          <w:rFonts w:hint="eastAsia" w:ascii="宋体" w:hAnsi="宋体" w:eastAsia="宋体" w:cs="宋体"/>
          <w:color w:val="auto"/>
          <w:spacing w:val="0"/>
          <w:sz w:val="21"/>
          <w:szCs w:val="21"/>
          <w:highlight w:val="none"/>
          <w:lang w:eastAsia="zh-CN"/>
        </w:rPr>
        <w:t>投标人</w:t>
      </w:r>
      <w:r>
        <w:rPr>
          <w:rFonts w:hint="eastAsia" w:ascii="宋体" w:hAnsi="宋体" w:eastAsia="宋体" w:cs="宋体"/>
          <w:color w:val="auto"/>
          <w:spacing w:val="0"/>
          <w:sz w:val="21"/>
          <w:szCs w:val="21"/>
          <w:highlight w:val="none"/>
        </w:rPr>
        <w:t>同意延长的，应相应延长其</w:t>
      </w:r>
      <w:r>
        <w:rPr>
          <w:rFonts w:hint="eastAsia" w:ascii="宋体" w:hAnsi="宋体" w:eastAsia="宋体" w:cs="宋体"/>
          <w:color w:val="auto"/>
          <w:spacing w:val="0"/>
          <w:sz w:val="21"/>
          <w:szCs w:val="21"/>
          <w:highlight w:val="none"/>
          <w:lang w:eastAsia="zh-CN"/>
        </w:rPr>
        <w:t>投标文件</w:t>
      </w:r>
      <w:r>
        <w:rPr>
          <w:rFonts w:hint="eastAsia" w:ascii="宋体" w:hAnsi="宋体" w:eastAsia="宋体" w:cs="宋体"/>
          <w:color w:val="auto"/>
          <w:spacing w:val="0"/>
          <w:sz w:val="21"/>
          <w:szCs w:val="21"/>
          <w:highlight w:val="none"/>
        </w:rPr>
        <w:t>的有效期，但不得要求或被允许修改或撤销其</w:t>
      </w:r>
      <w:r>
        <w:rPr>
          <w:rFonts w:hint="eastAsia" w:ascii="宋体" w:hAnsi="宋体" w:eastAsia="宋体" w:cs="宋体"/>
          <w:color w:val="auto"/>
          <w:spacing w:val="0"/>
          <w:sz w:val="21"/>
          <w:szCs w:val="21"/>
          <w:highlight w:val="none"/>
          <w:lang w:eastAsia="zh-CN"/>
        </w:rPr>
        <w:t>投标文件</w:t>
      </w:r>
      <w:r>
        <w:rPr>
          <w:rFonts w:hint="eastAsia" w:ascii="宋体" w:hAnsi="宋体" w:eastAsia="宋体" w:cs="宋体"/>
          <w:color w:val="auto"/>
          <w:spacing w:val="0"/>
          <w:sz w:val="21"/>
          <w:szCs w:val="21"/>
          <w:highlight w:val="none"/>
        </w:rPr>
        <w:t>；</w:t>
      </w:r>
      <w:r>
        <w:rPr>
          <w:rFonts w:hint="eastAsia" w:ascii="宋体" w:hAnsi="宋体" w:eastAsia="宋体" w:cs="宋体"/>
          <w:color w:val="auto"/>
          <w:spacing w:val="0"/>
          <w:sz w:val="21"/>
          <w:szCs w:val="21"/>
          <w:highlight w:val="none"/>
          <w:lang w:eastAsia="zh-CN"/>
        </w:rPr>
        <w:t>投标人</w:t>
      </w:r>
      <w:r>
        <w:rPr>
          <w:rFonts w:hint="eastAsia" w:ascii="宋体" w:hAnsi="宋体" w:eastAsia="宋体" w:cs="宋体"/>
          <w:color w:val="auto"/>
          <w:spacing w:val="0"/>
          <w:sz w:val="21"/>
          <w:szCs w:val="21"/>
          <w:highlight w:val="none"/>
        </w:rPr>
        <w:t>拒绝延长的，其投标失效。</w:t>
      </w:r>
    </w:p>
    <w:p w14:paraId="745B54BE">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19.</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的编制</w:t>
      </w:r>
    </w:p>
    <w:p w14:paraId="43AEA578">
      <w:pPr>
        <w:pStyle w:val="16"/>
        <w:keepNext w:val="0"/>
        <w:keepLines w:val="0"/>
        <w:pageBreakBefore w:val="0"/>
        <w:widowControl/>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rPr>
        <w:t>19.1</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应按第六章“</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组成”进行编写，如有必要，可以增加附页，作为</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的组成部分。其中，“投标报价表”在满足比选文件实质性要求的基础上，可以提出比比选文件要求更有利于</w:t>
      </w:r>
      <w:r>
        <w:rPr>
          <w:rFonts w:hint="eastAsia" w:ascii="宋体" w:hAnsi="宋体" w:eastAsia="宋体" w:cs="宋体"/>
          <w:color w:val="auto"/>
          <w:spacing w:val="0"/>
          <w:kern w:val="2"/>
          <w:sz w:val="21"/>
          <w:szCs w:val="21"/>
          <w:highlight w:val="none"/>
          <w:lang w:eastAsia="zh-CN"/>
        </w:rPr>
        <w:t>招募人</w:t>
      </w:r>
      <w:r>
        <w:rPr>
          <w:rFonts w:hint="eastAsia" w:ascii="宋体" w:hAnsi="宋体" w:eastAsia="宋体" w:cs="宋体"/>
          <w:color w:val="auto"/>
          <w:spacing w:val="0"/>
          <w:kern w:val="2"/>
          <w:sz w:val="21"/>
          <w:szCs w:val="21"/>
          <w:highlight w:val="none"/>
        </w:rPr>
        <w:t>的承诺。</w:t>
      </w:r>
    </w:p>
    <w:p w14:paraId="475544C0">
      <w:pPr>
        <w:pStyle w:val="16"/>
        <w:keepNext w:val="0"/>
        <w:keepLines w:val="0"/>
        <w:pageBreakBefore w:val="0"/>
        <w:widowControl/>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rPr>
        <w:t xml:space="preserve">19.2 </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应当对比选文件有关工期、投标有效期、质量要求、技术标准和要求、比选范围等内容作出实质性响应。</w:t>
      </w:r>
    </w:p>
    <w:p w14:paraId="1F4A45E6">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rPr>
        <w:t xml:space="preserve">19.3 </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应用不褪色的材料书写或打印，并加盖</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单位公章和法定代表人或其委托代理人印章。委托代理人签字或盖章的，</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应附法定代表人签署的授权委托书。</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应尽量避免涂改、行间插字或删除。如果出现上述情况，改动之处应加盖</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单位公章或由</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的法定代表人或其授权的代理人签字确认。否则，将导致</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无效。签字或盖章的具体要求见</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须知前附表。</w:t>
      </w:r>
    </w:p>
    <w:p w14:paraId="4FAA346E">
      <w:pPr>
        <w:pStyle w:val="16"/>
        <w:keepNext w:val="0"/>
        <w:keepLines w:val="0"/>
        <w:pageBreakBefore w:val="0"/>
        <w:widowControl/>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kern w:val="2"/>
          <w:sz w:val="21"/>
          <w:szCs w:val="21"/>
          <w:highlight w:val="none"/>
        </w:rPr>
      </w:pPr>
      <w:r>
        <w:rPr>
          <w:rFonts w:hint="eastAsia" w:ascii="宋体" w:hAnsi="宋体" w:eastAsia="宋体" w:cs="宋体"/>
          <w:color w:val="auto"/>
          <w:spacing w:val="0"/>
          <w:kern w:val="2"/>
          <w:sz w:val="21"/>
          <w:szCs w:val="21"/>
          <w:highlight w:val="none"/>
        </w:rPr>
        <w:t>19.4</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的正本和副本应装订成册，正本一份，副本份数见磋商须知前附表。正本和副本的封面上应标记“正本”或“副本”的字样，当正本和副本有差异时，以正本为准。</w:t>
      </w:r>
    </w:p>
    <w:p w14:paraId="7AFF09C8">
      <w:pPr>
        <w:keepNext w:val="0"/>
        <w:keepLines w:val="0"/>
        <w:pageBreakBefore w:val="0"/>
        <w:kinsoku/>
        <w:overflowPunct/>
        <w:topLinePunct w:val="0"/>
        <w:autoSpaceDE/>
        <w:bidi w:val="0"/>
        <w:adjustRightInd w:val="0"/>
        <w:snapToGrid w:val="0"/>
        <w:spacing w:line="312" w:lineRule="auto"/>
        <w:ind w:left="0" w:right="0" w:rightChars="0"/>
        <w:jc w:val="left"/>
        <w:textAlignment w:val="auto"/>
        <w:outlineLvl w:val="1"/>
        <w:rPr>
          <w:rFonts w:hint="eastAsia" w:ascii="宋体" w:hAnsi="宋体" w:eastAsia="宋体" w:cs="宋体"/>
          <w:b/>
          <w:color w:val="auto"/>
          <w:sz w:val="21"/>
          <w:szCs w:val="21"/>
          <w:highlight w:val="none"/>
        </w:rPr>
      </w:pPr>
      <w:bookmarkStart w:id="16" w:name="_Toc29777"/>
      <w:r>
        <w:rPr>
          <w:rFonts w:hint="eastAsia" w:ascii="宋体" w:hAnsi="宋体" w:eastAsia="宋体" w:cs="宋体"/>
          <w:b/>
          <w:color w:val="auto"/>
          <w:sz w:val="21"/>
          <w:szCs w:val="21"/>
          <w:highlight w:val="none"/>
        </w:rPr>
        <w:t>四、</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的递交</w:t>
      </w:r>
      <w:bookmarkEnd w:id="16"/>
    </w:p>
    <w:p w14:paraId="0C19C733">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color w:val="auto"/>
          <w:sz w:val="21"/>
          <w:szCs w:val="21"/>
          <w:highlight w:val="none"/>
        </w:rPr>
        <w:t>20.</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bCs/>
          <w:color w:val="auto"/>
          <w:sz w:val="21"/>
          <w:szCs w:val="21"/>
          <w:highlight w:val="none"/>
        </w:rPr>
        <w:t>的</w:t>
      </w:r>
      <w:r>
        <w:rPr>
          <w:rFonts w:hint="eastAsia" w:ascii="宋体" w:hAnsi="宋体" w:eastAsia="宋体" w:cs="宋体"/>
          <w:b/>
          <w:bCs/>
          <w:color w:val="auto"/>
          <w:sz w:val="21"/>
          <w:szCs w:val="21"/>
          <w:highlight w:val="none"/>
          <w:lang w:eastAsia="zh-CN"/>
        </w:rPr>
        <w:t>密封和标记</w:t>
      </w:r>
    </w:p>
    <w:p w14:paraId="07DC8BBF">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20.1</w:t>
      </w:r>
      <w:r>
        <w:rPr>
          <w:rFonts w:hint="eastAsia" w:ascii="宋体" w:hAnsi="宋体" w:eastAsia="宋体" w:cs="宋体"/>
          <w:color w:val="auto"/>
          <w:spacing w:val="0"/>
          <w:sz w:val="21"/>
          <w:szCs w:val="21"/>
          <w:highlight w:val="none"/>
          <w:lang w:eastAsia="zh-CN"/>
        </w:rPr>
        <w:t>投标文件</w:t>
      </w:r>
      <w:r>
        <w:rPr>
          <w:rFonts w:hint="eastAsia" w:ascii="宋体" w:hAnsi="宋体" w:eastAsia="宋体" w:cs="宋体"/>
          <w:color w:val="auto"/>
          <w:spacing w:val="0"/>
          <w:sz w:val="21"/>
          <w:szCs w:val="21"/>
          <w:highlight w:val="none"/>
        </w:rPr>
        <w:t>应密封包装，加贴封条，并在封套的封口处盖</w:t>
      </w:r>
      <w:r>
        <w:rPr>
          <w:rFonts w:hint="eastAsia" w:ascii="宋体" w:hAnsi="宋体" w:eastAsia="宋体" w:cs="宋体"/>
          <w:color w:val="auto"/>
          <w:spacing w:val="0"/>
          <w:sz w:val="21"/>
          <w:szCs w:val="21"/>
          <w:highlight w:val="none"/>
          <w:lang w:eastAsia="zh-CN"/>
        </w:rPr>
        <w:t>投标人</w:t>
      </w:r>
      <w:r>
        <w:rPr>
          <w:rFonts w:hint="eastAsia" w:ascii="宋体" w:hAnsi="宋体" w:eastAsia="宋体" w:cs="宋体"/>
          <w:color w:val="auto"/>
          <w:spacing w:val="0"/>
          <w:sz w:val="21"/>
          <w:szCs w:val="21"/>
          <w:highlight w:val="none"/>
        </w:rPr>
        <w:t>单位章或者由法定代表人或其委托代理人签字。</w:t>
      </w:r>
    </w:p>
    <w:p w14:paraId="3808ACB6">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20.2</w:t>
      </w:r>
      <w:r>
        <w:rPr>
          <w:rFonts w:hint="eastAsia" w:ascii="宋体" w:hAnsi="宋体" w:eastAsia="宋体" w:cs="宋体"/>
          <w:color w:val="auto"/>
          <w:spacing w:val="0"/>
          <w:sz w:val="21"/>
          <w:szCs w:val="21"/>
          <w:highlight w:val="none"/>
          <w:lang w:eastAsia="zh-CN"/>
        </w:rPr>
        <w:t>投标文件</w:t>
      </w:r>
      <w:r>
        <w:rPr>
          <w:rFonts w:hint="eastAsia" w:ascii="宋体" w:hAnsi="宋体" w:eastAsia="宋体" w:cs="宋体"/>
          <w:color w:val="auto"/>
          <w:spacing w:val="0"/>
          <w:sz w:val="21"/>
          <w:szCs w:val="21"/>
          <w:highlight w:val="none"/>
        </w:rPr>
        <w:t>封套上应写明的内容见</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须知前附表</w:t>
      </w:r>
      <w:r>
        <w:rPr>
          <w:rFonts w:hint="eastAsia" w:ascii="宋体" w:hAnsi="宋体" w:eastAsia="宋体" w:cs="宋体"/>
          <w:color w:val="auto"/>
          <w:spacing w:val="0"/>
          <w:sz w:val="21"/>
          <w:szCs w:val="21"/>
          <w:highlight w:val="none"/>
        </w:rPr>
        <w:t>。</w:t>
      </w:r>
    </w:p>
    <w:p w14:paraId="23A007F0">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20.3</w:t>
      </w:r>
      <w:r>
        <w:rPr>
          <w:rFonts w:hint="eastAsia" w:ascii="宋体" w:hAnsi="宋体" w:eastAsia="宋体" w:cs="宋体"/>
          <w:color w:val="auto"/>
          <w:spacing w:val="0"/>
          <w:sz w:val="21"/>
          <w:szCs w:val="21"/>
          <w:highlight w:val="none"/>
          <w:lang w:eastAsia="zh-CN"/>
        </w:rPr>
        <w:t>投标文件</w:t>
      </w:r>
      <w:r>
        <w:rPr>
          <w:rFonts w:hint="eastAsia" w:ascii="宋体" w:hAnsi="宋体" w:eastAsia="宋体" w:cs="宋体"/>
          <w:color w:val="auto"/>
          <w:spacing w:val="0"/>
          <w:sz w:val="21"/>
          <w:szCs w:val="21"/>
          <w:highlight w:val="none"/>
        </w:rPr>
        <w:t>如果未按上述规定密封和加写标记，</w:t>
      </w:r>
      <w:r>
        <w:rPr>
          <w:rFonts w:hint="eastAsia" w:ascii="宋体" w:hAnsi="宋体" w:eastAsia="宋体" w:cs="宋体"/>
          <w:color w:val="auto"/>
          <w:spacing w:val="0"/>
          <w:sz w:val="21"/>
          <w:szCs w:val="21"/>
          <w:highlight w:val="none"/>
          <w:lang w:eastAsia="zh-CN"/>
        </w:rPr>
        <w:t>招募人</w:t>
      </w:r>
      <w:r>
        <w:rPr>
          <w:rFonts w:hint="eastAsia" w:ascii="宋体" w:hAnsi="宋体" w:eastAsia="宋体" w:cs="宋体"/>
          <w:color w:val="auto"/>
          <w:spacing w:val="0"/>
          <w:sz w:val="21"/>
          <w:szCs w:val="21"/>
          <w:highlight w:val="none"/>
        </w:rPr>
        <w:t>或</w:t>
      </w:r>
      <w:r>
        <w:rPr>
          <w:rFonts w:hint="eastAsia" w:ascii="宋体" w:hAnsi="宋体" w:eastAsia="宋体" w:cs="宋体"/>
          <w:color w:val="auto"/>
          <w:spacing w:val="0"/>
          <w:sz w:val="21"/>
          <w:szCs w:val="21"/>
          <w:highlight w:val="none"/>
          <w:lang w:eastAsia="zh-CN"/>
        </w:rPr>
        <w:t>招募代理机构</w:t>
      </w:r>
      <w:r>
        <w:rPr>
          <w:rFonts w:hint="eastAsia" w:ascii="宋体" w:hAnsi="宋体" w:eastAsia="宋体" w:cs="宋体"/>
          <w:color w:val="auto"/>
          <w:spacing w:val="0"/>
          <w:sz w:val="21"/>
          <w:szCs w:val="21"/>
          <w:highlight w:val="none"/>
        </w:rPr>
        <w:t>将拒绝接收。</w:t>
      </w:r>
    </w:p>
    <w:p w14:paraId="5D83C228">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21.</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的</w:t>
      </w:r>
      <w:r>
        <w:rPr>
          <w:rFonts w:hint="eastAsia" w:ascii="宋体" w:hAnsi="宋体" w:eastAsia="宋体" w:cs="宋体"/>
          <w:b/>
          <w:color w:val="auto"/>
          <w:kern w:val="0"/>
          <w:sz w:val="21"/>
          <w:szCs w:val="21"/>
          <w:highlight w:val="none"/>
          <w:lang w:val="zh-CN"/>
        </w:rPr>
        <w:t>修改或者撤回</w:t>
      </w:r>
    </w:p>
    <w:p w14:paraId="0CEB4AB5">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21.1</w:t>
      </w:r>
      <w:r>
        <w:rPr>
          <w:rFonts w:hint="eastAsia" w:ascii="宋体" w:hAnsi="宋体" w:eastAsia="宋体" w:cs="宋体"/>
          <w:color w:val="auto"/>
          <w:spacing w:val="0"/>
          <w:sz w:val="21"/>
          <w:szCs w:val="21"/>
          <w:highlight w:val="none"/>
          <w:lang w:eastAsia="zh-CN"/>
        </w:rPr>
        <w:t>投标人</w:t>
      </w:r>
      <w:r>
        <w:rPr>
          <w:rFonts w:hint="eastAsia" w:ascii="宋体" w:hAnsi="宋体" w:eastAsia="宋体" w:cs="宋体"/>
          <w:color w:val="auto"/>
          <w:spacing w:val="0"/>
          <w:sz w:val="21"/>
          <w:szCs w:val="21"/>
          <w:highlight w:val="none"/>
        </w:rPr>
        <w:t>在</w:t>
      </w:r>
      <w:r>
        <w:rPr>
          <w:rFonts w:hint="eastAsia" w:ascii="宋体" w:hAnsi="宋体" w:eastAsia="宋体" w:cs="宋体"/>
          <w:color w:val="auto"/>
          <w:spacing w:val="0"/>
          <w:kern w:val="2"/>
          <w:sz w:val="21"/>
          <w:szCs w:val="21"/>
          <w:highlight w:val="none"/>
        </w:rPr>
        <w:t>规定的</w:t>
      </w:r>
      <w:r>
        <w:rPr>
          <w:rFonts w:hint="eastAsia" w:ascii="宋体" w:hAnsi="宋体" w:eastAsia="宋体" w:cs="宋体"/>
          <w:color w:val="auto"/>
          <w:spacing w:val="0"/>
          <w:sz w:val="21"/>
          <w:szCs w:val="21"/>
          <w:highlight w:val="none"/>
        </w:rPr>
        <w:t>提交</w:t>
      </w:r>
      <w:r>
        <w:rPr>
          <w:rFonts w:hint="eastAsia" w:ascii="宋体" w:hAnsi="宋体" w:eastAsia="宋体" w:cs="宋体"/>
          <w:color w:val="auto"/>
          <w:spacing w:val="0"/>
          <w:sz w:val="21"/>
          <w:szCs w:val="21"/>
          <w:highlight w:val="none"/>
          <w:lang w:eastAsia="zh-CN"/>
        </w:rPr>
        <w:t>投标文件</w:t>
      </w:r>
      <w:r>
        <w:rPr>
          <w:rFonts w:hint="eastAsia" w:ascii="宋体" w:hAnsi="宋体" w:eastAsia="宋体" w:cs="宋体"/>
          <w:color w:val="auto"/>
          <w:spacing w:val="0"/>
          <w:sz w:val="21"/>
          <w:szCs w:val="21"/>
          <w:highlight w:val="none"/>
        </w:rPr>
        <w:t>截止时间前，可以对所提交的</w:t>
      </w:r>
      <w:r>
        <w:rPr>
          <w:rFonts w:hint="eastAsia" w:ascii="宋体" w:hAnsi="宋体" w:eastAsia="宋体" w:cs="宋体"/>
          <w:color w:val="auto"/>
          <w:spacing w:val="0"/>
          <w:sz w:val="21"/>
          <w:szCs w:val="21"/>
          <w:highlight w:val="none"/>
          <w:lang w:eastAsia="zh-CN"/>
        </w:rPr>
        <w:t>投标文件</w:t>
      </w:r>
      <w:r>
        <w:rPr>
          <w:rFonts w:hint="eastAsia" w:ascii="宋体" w:hAnsi="宋体" w:eastAsia="宋体" w:cs="宋体"/>
          <w:color w:val="auto"/>
          <w:spacing w:val="0"/>
          <w:sz w:val="21"/>
          <w:szCs w:val="21"/>
          <w:highlight w:val="none"/>
        </w:rPr>
        <w:t>进行</w:t>
      </w:r>
      <w:r>
        <w:rPr>
          <w:rFonts w:hint="eastAsia" w:ascii="宋体" w:hAnsi="宋体" w:eastAsia="宋体" w:cs="宋体"/>
          <w:color w:val="auto"/>
          <w:spacing w:val="0"/>
          <w:sz w:val="21"/>
          <w:szCs w:val="21"/>
          <w:highlight w:val="none"/>
          <w:lang w:eastAsia="zh-CN"/>
        </w:rPr>
        <w:t>补充、</w:t>
      </w:r>
      <w:r>
        <w:rPr>
          <w:rFonts w:hint="eastAsia" w:ascii="宋体" w:hAnsi="宋体" w:eastAsia="宋体" w:cs="宋体"/>
          <w:color w:val="auto"/>
          <w:spacing w:val="0"/>
          <w:sz w:val="21"/>
          <w:szCs w:val="21"/>
          <w:highlight w:val="none"/>
        </w:rPr>
        <w:t>修改或者撤回</w:t>
      </w:r>
      <w:r>
        <w:rPr>
          <w:rFonts w:hint="eastAsia" w:ascii="宋体" w:hAnsi="宋体" w:eastAsia="宋体" w:cs="宋体"/>
          <w:color w:val="auto"/>
          <w:spacing w:val="0"/>
          <w:sz w:val="21"/>
          <w:szCs w:val="21"/>
          <w:highlight w:val="none"/>
          <w:lang w:val="zh-CN"/>
        </w:rPr>
        <w:t>，并书面通知</w:t>
      </w:r>
      <w:r>
        <w:rPr>
          <w:rFonts w:hint="eastAsia" w:ascii="宋体" w:hAnsi="宋体" w:eastAsia="宋体" w:cs="宋体"/>
          <w:color w:val="auto"/>
          <w:spacing w:val="0"/>
          <w:sz w:val="21"/>
          <w:szCs w:val="21"/>
          <w:highlight w:val="none"/>
          <w:lang w:eastAsia="zh-CN"/>
        </w:rPr>
        <w:t>招募人</w:t>
      </w:r>
      <w:r>
        <w:rPr>
          <w:rFonts w:hint="eastAsia" w:ascii="宋体" w:hAnsi="宋体" w:eastAsia="宋体" w:cs="宋体"/>
          <w:color w:val="auto"/>
          <w:spacing w:val="0"/>
          <w:sz w:val="21"/>
          <w:szCs w:val="21"/>
          <w:highlight w:val="none"/>
          <w:lang w:val="zh-CN"/>
        </w:rPr>
        <w:t>、招募代理机构。该通知应有投标人法定代表人或其委托代理人签字。补充、修改的内容与投标文件不一致时，以补充、修改的内容为准。</w:t>
      </w:r>
    </w:p>
    <w:p w14:paraId="7AC90167">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22.</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的递交与接收</w:t>
      </w:r>
    </w:p>
    <w:p w14:paraId="11F9BB68">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22.1 </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应在规定的</w:t>
      </w:r>
      <w:r>
        <w:rPr>
          <w:rFonts w:hint="eastAsia" w:ascii="宋体" w:hAnsi="宋体" w:eastAsia="宋体" w:cs="宋体"/>
          <w:color w:val="auto"/>
          <w:kern w:val="0"/>
          <w:sz w:val="21"/>
          <w:szCs w:val="21"/>
          <w:highlight w:val="none"/>
        </w:rPr>
        <w:t>提交</w:t>
      </w:r>
      <w:r>
        <w:rPr>
          <w:rFonts w:hint="eastAsia" w:ascii="宋体" w:hAnsi="宋体" w:eastAsia="宋体" w:cs="宋体"/>
          <w:color w:val="auto"/>
          <w:kern w:val="0"/>
          <w:sz w:val="21"/>
          <w:szCs w:val="21"/>
          <w:highlight w:val="none"/>
          <w:lang w:eastAsia="zh-CN"/>
        </w:rPr>
        <w:t>投标文件</w:t>
      </w:r>
      <w:r>
        <w:rPr>
          <w:rFonts w:hint="eastAsia" w:ascii="宋体" w:hAnsi="宋体" w:eastAsia="宋体" w:cs="宋体"/>
          <w:color w:val="auto"/>
          <w:kern w:val="0"/>
          <w:sz w:val="21"/>
          <w:szCs w:val="21"/>
          <w:highlight w:val="none"/>
        </w:rPr>
        <w:t>截止时间</w:t>
      </w:r>
      <w:r>
        <w:rPr>
          <w:rFonts w:hint="eastAsia" w:ascii="宋体" w:hAnsi="宋体" w:eastAsia="宋体" w:cs="宋体"/>
          <w:color w:val="auto"/>
          <w:sz w:val="21"/>
          <w:szCs w:val="21"/>
          <w:highlight w:val="none"/>
        </w:rPr>
        <w:t>前，将</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送达</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须知前附表</w:t>
      </w:r>
      <w:r>
        <w:rPr>
          <w:rFonts w:hint="eastAsia" w:ascii="宋体" w:hAnsi="宋体" w:eastAsia="宋体" w:cs="宋体"/>
          <w:color w:val="auto"/>
          <w:sz w:val="21"/>
          <w:szCs w:val="21"/>
          <w:highlight w:val="none"/>
        </w:rPr>
        <w:t>中指定的地点。</w:t>
      </w:r>
      <w:r>
        <w:rPr>
          <w:rFonts w:hint="eastAsia" w:ascii="宋体" w:hAnsi="宋体" w:eastAsia="宋体" w:cs="宋体"/>
          <w:color w:val="auto"/>
          <w:kern w:val="0"/>
          <w:sz w:val="21"/>
          <w:szCs w:val="21"/>
          <w:highlight w:val="none"/>
        </w:rPr>
        <w:t>在截止时间后送达的</w:t>
      </w:r>
      <w:r>
        <w:rPr>
          <w:rFonts w:hint="eastAsia" w:ascii="宋体" w:hAnsi="宋体" w:eastAsia="宋体" w:cs="宋体"/>
          <w:color w:val="auto"/>
          <w:kern w:val="0"/>
          <w:sz w:val="21"/>
          <w:szCs w:val="21"/>
          <w:highlight w:val="none"/>
          <w:lang w:eastAsia="zh-CN"/>
        </w:rPr>
        <w:t>投标文件</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招募人</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招募代理机构</w:t>
      </w:r>
      <w:r>
        <w:rPr>
          <w:rFonts w:hint="eastAsia" w:ascii="宋体" w:hAnsi="宋体" w:eastAsia="宋体" w:cs="宋体"/>
          <w:color w:val="auto"/>
          <w:kern w:val="0"/>
          <w:sz w:val="21"/>
          <w:szCs w:val="21"/>
          <w:highlight w:val="none"/>
        </w:rPr>
        <w:t>或者评标委员会应当拒收。</w:t>
      </w:r>
    </w:p>
    <w:p w14:paraId="0B2E79CC">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22.2</w:t>
      </w:r>
      <w:r>
        <w:rPr>
          <w:rFonts w:hint="eastAsia" w:ascii="宋体" w:hAnsi="宋体" w:eastAsia="宋体" w:cs="宋体"/>
          <w:color w:val="auto"/>
          <w:spacing w:val="0"/>
          <w:sz w:val="21"/>
          <w:szCs w:val="21"/>
          <w:highlight w:val="none"/>
        </w:rPr>
        <w:t>在</w:t>
      </w:r>
      <w:r>
        <w:rPr>
          <w:rFonts w:hint="eastAsia" w:ascii="宋体" w:hAnsi="宋体" w:eastAsia="宋体" w:cs="宋体"/>
          <w:color w:val="auto"/>
          <w:spacing w:val="0"/>
          <w:kern w:val="2"/>
          <w:sz w:val="21"/>
          <w:szCs w:val="21"/>
          <w:highlight w:val="none"/>
        </w:rPr>
        <w:t>规定的</w:t>
      </w:r>
      <w:r>
        <w:rPr>
          <w:rFonts w:hint="eastAsia" w:ascii="宋体" w:hAnsi="宋体" w:eastAsia="宋体" w:cs="宋体"/>
          <w:color w:val="auto"/>
          <w:spacing w:val="0"/>
          <w:sz w:val="21"/>
          <w:szCs w:val="21"/>
          <w:highlight w:val="none"/>
        </w:rPr>
        <w:t>提交</w:t>
      </w:r>
      <w:r>
        <w:rPr>
          <w:rFonts w:hint="eastAsia" w:ascii="宋体" w:hAnsi="宋体" w:eastAsia="宋体" w:cs="宋体"/>
          <w:color w:val="auto"/>
          <w:spacing w:val="0"/>
          <w:sz w:val="21"/>
          <w:szCs w:val="21"/>
          <w:highlight w:val="none"/>
          <w:lang w:eastAsia="zh-CN"/>
        </w:rPr>
        <w:t>投标文件</w:t>
      </w:r>
      <w:r>
        <w:rPr>
          <w:rFonts w:hint="eastAsia" w:ascii="宋体" w:hAnsi="宋体" w:eastAsia="宋体" w:cs="宋体"/>
          <w:color w:val="auto"/>
          <w:spacing w:val="0"/>
          <w:sz w:val="21"/>
          <w:szCs w:val="21"/>
          <w:highlight w:val="none"/>
        </w:rPr>
        <w:t>截止时间后，</w:t>
      </w:r>
      <w:r>
        <w:rPr>
          <w:rFonts w:hint="eastAsia" w:ascii="宋体" w:hAnsi="宋体" w:eastAsia="宋体" w:cs="宋体"/>
          <w:color w:val="auto"/>
          <w:spacing w:val="0"/>
          <w:kern w:val="2"/>
          <w:sz w:val="21"/>
          <w:szCs w:val="21"/>
          <w:highlight w:val="none"/>
        </w:rPr>
        <w:t>由</w:t>
      </w:r>
      <w:r>
        <w:rPr>
          <w:rFonts w:hint="eastAsia" w:ascii="宋体" w:hAnsi="宋体" w:eastAsia="宋体" w:cs="宋体"/>
          <w:bCs/>
          <w:color w:val="auto"/>
          <w:spacing w:val="0"/>
          <w:kern w:val="2"/>
          <w:sz w:val="21"/>
          <w:szCs w:val="21"/>
          <w:highlight w:val="none"/>
          <w:lang w:eastAsia="zh-CN"/>
        </w:rPr>
        <w:t>投标人</w:t>
      </w:r>
      <w:r>
        <w:rPr>
          <w:rFonts w:hint="eastAsia" w:ascii="宋体" w:hAnsi="宋体" w:eastAsia="宋体" w:cs="宋体"/>
          <w:bCs/>
          <w:color w:val="auto"/>
          <w:spacing w:val="0"/>
          <w:kern w:val="2"/>
          <w:sz w:val="21"/>
          <w:szCs w:val="21"/>
          <w:highlight w:val="none"/>
        </w:rPr>
        <w:t>代表</w:t>
      </w:r>
      <w:r>
        <w:rPr>
          <w:rFonts w:hint="eastAsia" w:ascii="宋体" w:hAnsi="宋体" w:eastAsia="宋体" w:cs="宋体"/>
          <w:color w:val="auto"/>
          <w:spacing w:val="0"/>
          <w:kern w:val="2"/>
          <w:sz w:val="21"/>
          <w:szCs w:val="21"/>
          <w:highlight w:val="none"/>
        </w:rPr>
        <w:t>当场查验</w:t>
      </w:r>
      <w:r>
        <w:rPr>
          <w:rFonts w:hint="eastAsia" w:ascii="宋体" w:hAnsi="宋体" w:eastAsia="宋体" w:cs="宋体"/>
          <w:bCs/>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的密封状况，</w:t>
      </w:r>
      <w:r>
        <w:rPr>
          <w:rFonts w:hint="eastAsia" w:ascii="宋体" w:hAnsi="宋体" w:eastAsia="宋体" w:cs="宋体"/>
          <w:color w:val="auto"/>
          <w:spacing w:val="0"/>
          <w:kern w:val="2"/>
          <w:sz w:val="21"/>
          <w:szCs w:val="21"/>
          <w:highlight w:val="none"/>
          <w:lang w:eastAsia="zh-CN"/>
        </w:rPr>
        <w:t>招募人</w:t>
      </w:r>
      <w:r>
        <w:rPr>
          <w:rFonts w:hint="eastAsia" w:ascii="宋体" w:hAnsi="宋体" w:eastAsia="宋体" w:cs="宋体"/>
          <w:color w:val="auto"/>
          <w:spacing w:val="0"/>
          <w:kern w:val="2"/>
          <w:sz w:val="21"/>
          <w:szCs w:val="21"/>
          <w:highlight w:val="none"/>
        </w:rPr>
        <w:t>或</w:t>
      </w:r>
      <w:r>
        <w:rPr>
          <w:rFonts w:hint="eastAsia" w:ascii="宋体" w:hAnsi="宋体" w:eastAsia="宋体" w:cs="宋体"/>
          <w:bCs/>
          <w:color w:val="auto"/>
          <w:spacing w:val="0"/>
          <w:kern w:val="2"/>
          <w:sz w:val="21"/>
          <w:szCs w:val="21"/>
          <w:highlight w:val="none"/>
          <w:lang w:eastAsia="zh-CN"/>
        </w:rPr>
        <w:t>招募代理机构</w:t>
      </w:r>
      <w:r>
        <w:rPr>
          <w:rFonts w:hint="eastAsia" w:ascii="宋体" w:hAnsi="宋体" w:eastAsia="宋体" w:cs="宋体"/>
          <w:color w:val="auto"/>
          <w:spacing w:val="0"/>
          <w:kern w:val="2"/>
          <w:sz w:val="21"/>
          <w:szCs w:val="21"/>
          <w:highlight w:val="none"/>
        </w:rPr>
        <w:t>不当场拆封</w:t>
      </w:r>
      <w:r>
        <w:rPr>
          <w:rFonts w:hint="eastAsia" w:ascii="宋体" w:hAnsi="宋体" w:eastAsia="宋体" w:cs="宋体"/>
          <w:bCs/>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w:t>
      </w:r>
    </w:p>
    <w:p w14:paraId="1CE5C304">
      <w:pPr>
        <w:keepNext w:val="0"/>
        <w:keepLines w:val="0"/>
        <w:pageBreakBefore w:val="0"/>
        <w:kinsoku/>
        <w:overflowPunct/>
        <w:topLinePunct w:val="0"/>
        <w:autoSpaceDE/>
        <w:bidi w:val="0"/>
        <w:adjustRightInd w:val="0"/>
        <w:snapToGrid w:val="0"/>
        <w:spacing w:line="312" w:lineRule="auto"/>
        <w:ind w:left="0" w:right="0" w:rightChars="0" w:hanging="630" w:hangingChars="300"/>
        <w:jc w:val="left"/>
        <w:textAlignment w:val="auto"/>
        <w:outlineLvl w:val="1"/>
        <w:rPr>
          <w:rFonts w:hint="eastAsia" w:ascii="宋体" w:hAnsi="宋体" w:eastAsia="宋体" w:cs="宋体"/>
          <w:b/>
          <w:color w:val="auto"/>
          <w:sz w:val="21"/>
          <w:szCs w:val="21"/>
          <w:highlight w:val="none"/>
        </w:rPr>
      </w:pPr>
      <w:bookmarkStart w:id="17" w:name="_Toc27912"/>
      <w:r>
        <w:rPr>
          <w:rFonts w:hint="eastAsia" w:ascii="宋体" w:hAnsi="宋体" w:eastAsia="宋体" w:cs="宋体"/>
          <w:b/>
          <w:color w:val="auto"/>
          <w:sz w:val="21"/>
          <w:szCs w:val="21"/>
          <w:highlight w:val="none"/>
        </w:rPr>
        <w:t>五、</w:t>
      </w:r>
      <w:r>
        <w:rPr>
          <w:rFonts w:hint="eastAsia" w:ascii="宋体" w:hAnsi="宋体" w:eastAsia="宋体" w:cs="宋体"/>
          <w:b/>
          <w:color w:val="auto"/>
          <w:sz w:val="21"/>
          <w:szCs w:val="21"/>
          <w:highlight w:val="none"/>
          <w:lang w:eastAsia="zh-CN"/>
        </w:rPr>
        <w:t>投标文件</w:t>
      </w:r>
      <w:r>
        <w:rPr>
          <w:rFonts w:hint="eastAsia" w:ascii="宋体" w:hAnsi="宋体" w:eastAsia="宋体" w:cs="宋体"/>
          <w:b/>
          <w:color w:val="auto"/>
          <w:sz w:val="21"/>
          <w:szCs w:val="21"/>
          <w:highlight w:val="none"/>
        </w:rPr>
        <w:t>的评审</w:t>
      </w:r>
      <w:bookmarkEnd w:id="17"/>
    </w:p>
    <w:p w14:paraId="3BF016D8">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23.</w:t>
      </w:r>
      <w:r>
        <w:rPr>
          <w:rFonts w:hint="eastAsia" w:ascii="宋体" w:hAnsi="宋体" w:eastAsia="宋体" w:cs="宋体"/>
          <w:bCs/>
          <w:color w:val="auto"/>
          <w:sz w:val="21"/>
          <w:szCs w:val="21"/>
          <w:highlight w:val="none"/>
        </w:rPr>
        <w:t>评审由评标委员会负责，评标委员会应按照本评标文件第三章“评审办法及标准”的内容和程序对</w:t>
      </w:r>
      <w:r>
        <w:rPr>
          <w:rFonts w:hint="eastAsia" w:ascii="宋体" w:hAnsi="宋体" w:eastAsia="宋体" w:cs="宋体"/>
          <w:bCs/>
          <w:color w:val="auto"/>
          <w:sz w:val="21"/>
          <w:szCs w:val="21"/>
          <w:highlight w:val="none"/>
          <w:lang w:eastAsia="zh-CN"/>
        </w:rPr>
        <w:t>投标文件</w:t>
      </w:r>
      <w:r>
        <w:rPr>
          <w:rFonts w:hint="eastAsia" w:ascii="宋体" w:hAnsi="宋体" w:eastAsia="宋体" w:cs="宋体"/>
          <w:bCs/>
          <w:color w:val="auto"/>
          <w:sz w:val="21"/>
          <w:szCs w:val="21"/>
          <w:highlight w:val="none"/>
        </w:rPr>
        <w:t>进行评审。</w:t>
      </w:r>
    </w:p>
    <w:p w14:paraId="3DA01EF3">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24.</w:t>
      </w:r>
      <w:r>
        <w:rPr>
          <w:rFonts w:hint="eastAsia" w:ascii="宋体" w:hAnsi="宋体" w:eastAsia="宋体" w:cs="宋体"/>
          <w:bCs/>
          <w:color w:val="auto"/>
          <w:sz w:val="21"/>
          <w:szCs w:val="21"/>
          <w:highlight w:val="none"/>
        </w:rPr>
        <w:t>评标活动遵循公平、公正、科学、择优的原则。</w:t>
      </w:r>
    </w:p>
    <w:p w14:paraId="3115F0B5">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25.</w:t>
      </w:r>
      <w:r>
        <w:rPr>
          <w:rFonts w:hint="eastAsia" w:ascii="宋体" w:hAnsi="宋体" w:eastAsia="宋体" w:cs="宋体"/>
          <w:bCs/>
          <w:color w:val="auto"/>
          <w:sz w:val="21"/>
          <w:szCs w:val="21"/>
          <w:highlight w:val="none"/>
        </w:rPr>
        <w:t>评标保密</w:t>
      </w:r>
    </w:p>
    <w:p w14:paraId="0C8DD310">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25.1 评标全过程内容和对</w:t>
      </w:r>
      <w:r>
        <w:rPr>
          <w:rFonts w:hint="eastAsia" w:ascii="宋体" w:hAnsi="宋体" w:eastAsia="宋体" w:cs="宋体"/>
          <w:bCs/>
          <w:color w:val="auto"/>
          <w:sz w:val="21"/>
          <w:szCs w:val="21"/>
          <w:highlight w:val="none"/>
          <w:lang w:eastAsia="zh-CN"/>
        </w:rPr>
        <w:t>投标文件</w:t>
      </w:r>
      <w:r>
        <w:rPr>
          <w:rFonts w:hint="eastAsia" w:ascii="宋体" w:hAnsi="宋体" w:eastAsia="宋体" w:cs="宋体"/>
          <w:bCs/>
          <w:color w:val="auto"/>
          <w:sz w:val="21"/>
          <w:szCs w:val="21"/>
          <w:highlight w:val="none"/>
        </w:rPr>
        <w:t>的评分结果，不得向</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及与该过程无关的其他单位和个人泄露。</w:t>
      </w:r>
    </w:p>
    <w:p w14:paraId="0E399A3E">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25.2</w:t>
      </w:r>
      <w:r>
        <w:rPr>
          <w:rFonts w:hint="eastAsia" w:ascii="宋体" w:hAnsi="宋体" w:eastAsia="宋体" w:cs="宋体"/>
          <w:color w:val="auto"/>
          <w:sz w:val="21"/>
          <w:szCs w:val="21"/>
          <w:highlight w:val="none"/>
        </w:rPr>
        <w:t>评标委员会成员</w:t>
      </w:r>
      <w:r>
        <w:rPr>
          <w:rFonts w:hint="eastAsia" w:ascii="宋体" w:hAnsi="宋体" w:eastAsia="宋体" w:cs="宋体"/>
          <w:bCs/>
          <w:color w:val="auto"/>
          <w:sz w:val="21"/>
          <w:szCs w:val="21"/>
          <w:highlight w:val="none"/>
        </w:rPr>
        <w:t>不得带入和带出任何纸质版及电子版资料。</w:t>
      </w:r>
    </w:p>
    <w:p w14:paraId="6A3C819C">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25.3 </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对</w:t>
      </w:r>
      <w:r>
        <w:rPr>
          <w:rFonts w:hint="eastAsia" w:ascii="宋体" w:hAnsi="宋体" w:eastAsia="宋体" w:cs="宋体"/>
          <w:bCs/>
          <w:color w:val="auto"/>
          <w:sz w:val="21"/>
          <w:szCs w:val="21"/>
          <w:highlight w:val="none"/>
          <w:lang w:eastAsia="zh-CN"/>
        </w:rPr>
        <w:t>招募人</w:t>
      </w:r>
      <w:r>
        <w:rPr>
          <w:rFonts w:hint="eastAsia" w:ascii="宋体" w:hAnsi="宋体" w:eastAsia="宋体" w:cs="宋体"/>
          <w:bCs/>
          <w:color w:val="auto"/>
          <w:sz w:val="21"/>
          <w:szCs w:val="21"/>
          <w:highlight w:val="none"/>
        </w:rPr>
        <w:t>和</w:t>
      </w:r>
      <w:r>
        <w:rPr>
          <w:rFonts w:hint="eastAsia" w:ascii="宋体" w:hAnsi="宋体" w:eastAsia="宋体" w:cs="宋体"/>
          <w:color w:val="auto"/>
          <w:sz w:val="21"/>
          <w:szCs w:val="21"/>
          <w:highlight w:val="none"/>
        </w:rPr>
        <w:t>评标委员会</w:t>
      </w:r>
      <w:r>
        <w:rPr>
          <w:rFonts w:hint="eastAsia" w:ascii="宋体" w:hAnsi="宋体" w:eastAsia="宋体" w:cs="宋体"/>
          <w:bCs/>
          <w:color w:val="auto"/>
          <w:sz w:val="21"/>
          <w:szCs w:val="21"/>
          <w:highlight w:val="none"/>
        </w:rPr>
        <w:t>施加影响的任何行为，都将被取消投标资格。</w:t>
      </w:r>
    </w:p>
    <w:p w14:paraId="5A1FDEDE">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26</w:t>
      </w:r>
      <w:r>
        <w:rPr>
          <w:rFonts w:hint="eastAsia" w:ascii="宋体" w:hAnsi="宋体" w:eastAsia="宋体" w:cs="宋体"/>
          <w:b/>
          <w:color w:val="auto"/>
          <w:sz w:val="21"/>
          <w:szCs w:val="21"/>
          <w:highlight w:val="none"/>
        </w:rPr>
        <w:t>.保密及串通行为</w:t>
      </w:r>
    </w:p>
    <w:p w14:paraId="2DA2957C">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26.1评标委员会成员以及与评审工作有关的人员不得泄露评审情况以及评审过程中获悉的国家秘密、商业秘密。</w:t>
      </w:r>
    </w:p>
    <w:p w14:paraId="3D1CDAEE">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26.2</w:t>
      </w:r>
      <w:r>
        <w:rPr>
          <w:rFonts w:hint="eastAsia" w:ascii="宋体" w:hAnsi="宋体" w:eastAsia="宋体" w:cs="宋体"/>
          <w:color w:val="auto"/>
          <w:kern w:val="0"/>
          <w:sz w:val="21"/>
          <w:szCs w:val="21"/>
          <w:highlight w:val="none"/>
          <w:lang w:eastAsia="zh-CN"/>
        </w:rPr>
        <w:t>投标人</w:t>
      </w:r>
      <w:r>
        <w:rPr>
          <w:rFonts w:hint="eastAsia" w:ascii="宋体" w:hAnsi="宋体" w:eastAsia="宋体" w:cs="宋体"/>
          <w:color w:val="auto"/>
          <w:sz w:val="21"/>
          <w:szCs w:val="21"/>
          <w:highlight w:val="none"/>
        </w:rPr>
        <w:t>不得与</w:t>
      </w:r>
      <w:r>
        <w:rPr>
          <w:rFonts w:hint="eastAsia" w:ascii="宋体" w:hAnsi="宋体" w:eastAsia="宋体" w:cs="宋体"/>
          <w:color w:val="auto"/>
          <w:kern w:val="0"/>
          <w:sz w:val="21"/>
          <w:szCs w:val="21"/>
          <w:highlight w:val="none"/>
          <w:lang w:eastAsia="zh-CN"/>
        </w:rPr>
        <w:t>招募人</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招募代理机构</w:t>
      </w:r>
      <w:r>
        <w:rPr>
          <w:rFonts w:hint="eastAsia" w:ascii="宋体" w:hAnsi="宋体" w:eastAsia="宋体" w:cs="宋体"/>
          <w:color w:val="auto"/>
          <w:kern w:val="0"/>
          <w:sz w:val="21"/>
          <w:szCs w:val="21"/>
          <w:highlight w:val="none"/>
        </w:rPr>
        <w:t>、其他</w:t>
      </w:r>
      <w:r>
        <w:rPr>
          <w:rFonts w:hint="eastAsia" w:ascii="宋体" w:hAnsi="宋体" w:eastAsia="宋体" w:cs="宋体"/>
          <w:color w:val="auto"/>
          <w:kern w:val="0"/>
          <w:sz w:val="21"/>
          <w:szCs w:val="21"/>
          <w:highlight w:val="none"/>
          <w:lang w:eastAsia="zh-CN"/>
        </w:rPr>
        <w:t>投标人</w:t>
      </w:r>
      <w:r>
        <w:rPr>
          <w:rFonts w:hint="eastAsia" w:ascii="宋体" w:hAnsi="宋体" w:eastAsia="宋体" w:cs="宋体"/>
          <w:color w:val="auto"/>
          <w:kern w:val="0"/>
          <w:sz w:val="21"/>
          <w:szCs w:val="21"/>
          <w:highlight w:val="none"/>
        </w:rPr>
        <w:t>恶意</w:t>
      </w:r>
      <w:r>
        <w:rPr>
          <w:rFonts w:hint="eastAsia" w:ascii="宋体" w:hAnsi="宋体" w:eastAsia="宋体" w:cs="宋体"/>
          <w:color w:val="auto"/>
          <w:sz w:val="21"/>
          <w:szCs w:val="21"/>
          <w:highlight w:val="none"/>
        </w:rPr>
        <w:t>串通；不得向</w:t>
      </w:r>
      <w:r>
        <w:rPr>
          <w:rFonts w:hint="eastAsia" w:ascii="宋体" w:hAnsi="宋体" w:eastAsia="宋体" w:cs="宋体"/>
          <w:color w:val="auto"/>
          <w:kern w:val="0"/>
          <w:sz w:val="21"/>
          <w:szCs w:val="21"/>
          <w:highlight w:val="none"/>
          <w:lang w:eastAsia="zh-CN"/>
        </w:rPr>
        <w:t>招募人</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招募代理机构</w:t>
      </w:r>
      <w:r>
        <w:rPr>
          <w:rFonts w:hint="eastAsia" w:ascii="宋体" w:hAnsi="宋体" w:eastAsia="宋体" w:cs="宋体"/>
          <w:color w:val="auto"/>
          <w:sz w:val="21"/>
          <w:szCs w:val="21"/>
          <w:highlight w:val="none"/>
        </w:rPr>
        <w:t>或者评标委员会成员行贿或者提供其他不正当利益；不得提供虚假材料谋取成交；不得以任何方式干扰、影响采购工作。</w:t>
      </w:r>
    </w:p>
    <w:p w14:paraId="364C2FDF">
      <w:pPr>
        <w:pStyle w:val="16"/>
        <w:keepNext w:val="0"/>
        <w:keepLines w:val="0"/>
        <w:pageBreakBefore w:val="0"/>
        <w:widowControl/>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lang w:val="zh-CN"/>
        </w:rPr>
      </w:pPr>
      <w:r>
        <w:rPr>
          <w:rFonts w:hint="eastAsia" w:ascii="宋体" w:hAnsi="宋体" w:eastAsia="宋体" w:cs="宋体"/>
          <w:color w:val="auto"/>
          <w:spacing w:val="0"/>
          <w:kern w:val="2"/>
          <w:sz w:val="21"/>
          <w:szCs w:val="21"/>
          <w:highlight w:val="none"/>
        </w:rPr>
        <w:t>26.3</w:t>
      </w:r>
      <w:r>
        <w:rPr>
          <w:rFonts w:hint="eastAsia" w:ascii="宋体" w:hAnsi="宋体" w:eastAsia="宋体" w:cs="宋体"/>
          <w:color w:val="auto"/>
          <w:spacing w:val="0"/>
          <w:sz w:val="21"/>
          <w:szCs w:val="21"/>
          <w:highlight w:val="none"/>
        </w:rPr>
        <w:t>有下列情形之一的，</w:t>
      </w:r>
      <w:r>
        <w:rPr>
          <w:rFonts w:hint="eastAsia" w:ascii="宋体" w:hAnsi="宋体" w:eastAsia="宋体" w:cs="宋体"/>
          <w:color w:val="auto"/>
          <w:spacing w:val="0"/>
          <w:sz w:val="21"/>
          <w:szCs w:val="21"/>
          <w:highlight w:val="none"/>
          <w:lang w:val="zh-CN"/>
        </w:rPr>
        <w:t>属于恶意串通，</w:t>
      </w:r>
      <w:r>
        <w:rPr>
          <w:rFonts w:hint="eastAsia" w:ascii="宋体" w:hAnsi="宋体" w:eastAsia="宋体" w:cs="宋体"/>
          <w:color w:val="auto"/>
          <w:spacing w:val="0"/>
          <w:sz w:val="21"/>
          <w:szCs w:val="21"/>
          <w:highlight w:val="none"/>
        </w:rPr>
        <w:t>成交无效，并</w:t>
      </w:r>
      <w:r>
        <w:rPr>
          <w:rFonts w:hint="eastAsia" w:ascii="宋体" w:hAnsi="宋体" w:eastAsia="宋体" w:cs="宋体"/>
          <w:color w:val="auto"/>
          <w:spacing w:val="0"/>
          <w:sz w:val="21"/>
          <w:szCs w:val="21"/>
          <w:highlight w:val="none"/>
          <w:lang w:val="zh-CN"/>
        </w:rPr>
        <w:t>参照《政府采购法》第七十七条的规定追究法律责任：</w:t>
      </w:r>
    </w:p>
    <w:p w14:paraId="1DA417FC">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直接或者间接从</w:t>
      </w:r>
      <w:r>
        <w:rPr>
          <w:rFonts w:hint="eastAsia" w:ascii="宋体" w:hAnsi="宋体" w:eastAsia="宋体" w:cs="宋体"/>
          <w:bCs/>
          <w:color w:val="auto"/>
          <w:sz w:val="21"/>
          <w:szCs w:val="21"/>
          <w:highlight w:val="none"/>
          <w:lang w:eastAsia="zh-CN"/>
        </w:rPr>
        <w:t>招募人</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eastAsia="zh-CN"/>
        </w:rPr>
        <w:t>招募代理机构</w:t>
      </w:r>
      <w:r>
        <w:rPr>
          <w:rFonts w:hint="eastAsia" w:ascii="宋体" w:hAnsi="宋体" w:eastAsia="宋体" w:cs="宋体"/>
          <w:color w:val="auto"/>
          <w:sz w:val="21"/>
          <w:szCs w:val="21"/>
          <w:highlight w:val="none"/>
        </w:rPr>
        <w:t>获得其他</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的响应情况，并修改其</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的；</w:t>
      </w:r>
    </w:p>
    <w:p w14:paraId="03D3A481">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bCs/>
          <w:color w:val="auto"/>
          <w:sz w:val="21"/>
          <w:szCs w:val="21"/>
          <w:highlight w:val="none"/>
          <w:lang w:eastAsia="zh-CN"/>
        </w:rPr>
        <w:t>招募人</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eastAsia="zh-CN"/>
        </w:rPr>
        <w:t>招募代理机构</w:t>
      </w:r>
      <w:r>
        <w:rPr>
          <w:rFonts w:hint="eastAsia" w:ascii="宋体" w:hAnsi="宋体" w:eastAsia="宋体" w:cs="宋体"/>
          <w:color w:val="auto"/>
          <w:sz w:val="21"/>
          <w:szCs w:val="21"/>
          <w:highlight w:val="none"/>
        </w:rPr>
        <w:t>授意</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撤换、修改</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的；</w:t>
      </w:r>
    </w:p>
    <w:p w14:paraId="04F2C41B">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之间协商技术方案、合同条款以及报价等</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实质性内容的；</w:t>
      </w:r>
    </w:p>
    <w:p w14:paraId="1F767596">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（4）属于同一集团、协会、商会等组织成员的</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按照该组织要求协同参加</w:t>
      </w:r>
      <w:r>
        <w:rPr>
          <w:rFonts w:hint="eastAsia" w:ascii="宋体" w:hAnsi="宋体" w:eastAsia="宋体" w:cs="宋体"/>
          <w:color w:val="auto"/>
          <w:sz w:val="21"/>
          <w:szCs w:val="21"/>
          <w:highlight w:val="none"/>
          <w:lang w:eastAsia="zh-CN"/>
        </w:rPr>
        <w:t>比选招募</w:t>
      </w:r>
      <w:r>
        <w:rPr>
          <w:rFonts w:hint="eastAsia" w:ascii="宋体" w:hAnsi="宋体" w:eastAsia="宋体" w:cs="宋体"/>
          <w:color w:val="auto"/>
          <w:sz w:val="21"/>
          <w:szCs w:val="21"/>
          <w:highlight w:val="none"/>
        </w:rPr>
        <w:t>活动的；</w:t>
      </w:r>
    </w:p>
    <w:p w14:paraId="09273F33">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之间事先约定由某一特定</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成交的；</w:t>
      </w:r>
    </w:p>
    <w:p w14:paraId="79C116D0">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之间商定部分</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放弃提交</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或者放弃成交的；</w:t>
      </w:r>
    </w:p>
    <w:p w14:paraId="1CBA3E6F">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与</w:t>
      </w:r>
      <w:r>
        <w:rPr>
          <w:rFonts w:hint="eastAsia" w:ascii="宋体" w:hAnsi="宋体" w:eastAsia="宋体" w:cs="宋体"/>
          <w:bCs/>
          <w:color w:val="auto"/>
          <w:sz w:val="21"/>
          <w:szCs w:val="21"/>
          <w:highlight w:val="none"/>
          <w:lang w:eastAsia="zh-CN"/>
        </w:rPr>
        <w:t>招募人</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eastAsia="zh-CN"/>
        </w:rPr>
        <w:t>招募代理机构</w:t>
      </w:r>
      <w:r>
        <w:rPr>
          <w:rFonts w:hint="eastAsia" w:ascii="宋体" w:hAnsi="宋体" w:eastAsia="宋体" w:cs="宋体"/>
          <w:bCs/>
          <w:color w:val="auto"/>
          <w:sz w:val="21"/>
          <w:szCs w:val="21"/>
          <w:highlight w:val="none"/>
        </w:rPr>
        <w:t>以及</w:t>
      </w:r>
      <w:r>
        <w:rPr>
          <w:rFonts w:hint="eastAsia" w:ascii="宋体" w:hAnsi="宋体" w:eastAsia="宋体" w:cs="宋体"/>
          <w:color w:val="auto"/>
          <w:sz w:val="21"/>
          <w:szCs w:val="21"/>
          <w:highlight w:val="none"/>
        </w:rPr>
        <w:t>评标委员会成员之间、</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相互之间，为谋求特定</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成交或者排斥其他</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的其他串通行为的。</w:t>
      </w:r>
    </w:p>
    <w:p w14:paraId="378BA91E">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（8）法律、行政法规或规章规定的其他串通行为。</w:t>
      </w:r>
    </w:p>
    <w:p w14:paraId="64731018">
      <w:pPr>
        <w:keepNext w:val="0"/>
        <w:keepLines w:val="0"/>
        <w:pageBreakBefore w:val="0"/>
        <w:kinsoku/>
        <w:overflowPunct/>
        <w:topLinePunct w:val="0"/>
        <w:autoSpaceDE/>
        <w:bidi w:val="0"/>
        <w:adjustRightInd w:val="0"/>
        <w:snapToGrid w:val="0"/>
        <w:spacing w:line="312" w:lineRule="auto"/>
        <w:ind w:left="0" w:right="0" w:rightChars="0"/>
        <w:jc w:val="left"/>
        <w:textAlignment w:val="auto"/>
        <w:outlineLvl w:val="1"/>
        <w:rPr>
          <w:rFonts w:hint="eastAsia" w:ascii="宋体" w:hAnsi="宋体" w:eastAsia="宋体" w:cs="宋体"/>
          <w:b/>
          <w:color w:val="auto"/>
          <w:sz w:val="21"/>
          <w:szCs w:val="21"/>
          <w:highlight w:val="none"/>
        </w:rPr>
      </w:pPr>
      <w:bookmarkStart w:id="18" w:name="_Toc23664"/>
      <w:r>
        <w:rPr>
          <w:rFonts w:hint="eastAsia" w:ascii="宋体" w:hAnsi="宋体" w:eastAsia="宋体" w:cs="宋体"/>
          <w:b/>
          <w:color w:val="auto"/>
          <w:sz w:val="21"/>
          <w:szCs w:val="21"/>
          <w:highlight w:val="none"/>
        </w:rPr>
        <w:t>六、成交结果信息公布与授予合同</w:t>
      </w:r>
      <w:bookmarkEnd w:id="18"/>
    </w:p>
    <w:p w14:paraId="026FB191">
      <w:pPr>
        <w:keepNext w:val="0"/>
        <w:keepLines w:val="0"/>
        <w:pageBreakBefore w:val="0"/>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27.中标候选人信息的公布</w:t>
      </w:r>
    </w:p>
    <w:p w14:paraId="0BC5E7A5">
      <w:pPr>
        <w:pStyle w:val="16"/>
        <w:keepNext w:val="0"/>
        <w:keepLines w:val="0"/>
        <w:pageBreakBefore w:val="0"/>
        <w:tabs>
          <w:tab w:val="left" w:pos="1601"/>
        </w:tabs>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27.1评标结束后，</w:t>
      </w:r>
      <w:r>
        <w:rPr>
          <w:rFonts w:hint="eastAsia" w:ascii="宋体" w:hAnsi="宋体" w:eastAsia="宋体" w:cs="宋体"/>
          <w:color w:val="auto"/>
          <w:spacing w:val="0"/>
          <w:kern w:val="2"/>
          <w:sz w:val="21"/>
          <w:szCs w:val="21"/>
          <w:highlight w:val="none"/>
          <w:lang w:eastAsia="zh-CN"/>
        </w:rPr>
        <w:t>招募人</w:t>
      </w:r>
      <w:r>
        <w:rPr>
          <w:rFonts w:hint="eastAsia" w:ascii="宋体" w:hAnsi="宋体" w:eastAsia="宋体" w:cs="宋体"/>
          <w:color w:val="auto"/>
          <w:spacing w:val="0"/>
          <w:kern w:val="2"/>
          <w:sz w:val="21"/>
          <w:szCs w:val="21"/>
          <w:highlight w:val="none"/>
        </w:rPr>
        <w:t>应将中标候选人信息在比选须知</w:t>
      </w:r>
      <w:r>
        <w:rPr>
          <w:rFonts w:hint="eastAsia" w:ascii="宋体" w:hAnsi="宋体" w:eastAsia="宋体" w:cs="宋体"/>
          <w:b/>
          <w:color w:val="auto"/>
          <w:spacing w:val="0"/>
          <w:kern w:val="2"/>
          <w:sz w:val="21"/>
          <w:szCs w:val="21"/>
          <w:highlight w:val="none"/>
        </w:rPr>
        <w:t>前附表</w:t>
      </w:r>
      <w:r>
        <w:rPr>
          <w:rFonts w:hint="eastAsia" w:ascii="宋体" w:hAnsi="宋体" w:eastAsia="宋体" w:cs="宋体"/>
          <w:color w:val="auto"/>
          <w:spacing w:val="0"/>
          <w:kern w:val="2"/>
          <w:sz w:val="21"/>
          <w:szCs w:val="21"/>
          <w:highlight w:val="none"/>
        </w:rPr>
        <w:t>指定的媒体上公布，</w:t>
      </w:r>
      <w:r>
        <w:rPr>
          <w:rFonts w:hint="eastAsia" w:ascii="宋体" w:hAnsi="宋体" w:eastAsia="宋体" w:cs="宋体"/>
          <w:b/>
          <w:color w:val="auto"/>
          <w:spacing w:val="0"/>
          <w:kern w:val="2"/>
          <w:sz w:val="21"/>
          <w:szCs w:val="21"/>
          <w:highlight w:val="none"/>
        </w:rPr>
        <w:t>公示期限为</w:t>
      </w:r>
      <w:r>
        <w:rPr>
          <w:rFonts w:hint="eastAsia" w:ascii="宋体" w:hAnsi="宋体" w:eastAsia="宋体" w:cs="宋体"/>
          <w:b/>
          <w:color w:val="auto"/>
          <w:spacing w:val="0"/>
          <w:kern w:val="2"/>
          <w:sz w:val="21"/>
          <w:szCs w:val="21"/>
          <w:highlight w:val="none"/>
          <w:lang w:val="en-US" w:eastAsia="zh-CN"/>
        </w:rPr>
        <w:t>1</w:t>
      </w:r>
      <w:r>
        <w:rPr>
          <w:rFonts w:hint="eastAsia" w:ascii="宋体" w:hAnsi="宋体" w:eastAsia="宋体" w:cs="宋体"/>
          <w:b/>
          <w:color w:val="auto"/>
          <w:spacing w:val="0"/>
          <w:kern w:val="2"/>
          <w:sz w:val="21"/>
          <w:szCs w:val="21"/>
          <w:highlight w:val="none"/>
        </w:rPr>
        <w:t>个工作日，</w:t>
      </w:r>
      <w:r>
        <w:rPr>
          <w:rFonts w:hint="eastAsia" w:ascii="宋体" w:hAnsi="宋体" w:eastAsia="宋体" w:cs="宋体"/>
          <w:color w:val="auto"/>
          <w:spacing w:val="0"/>
          <w:kern w:val="2"/>
          <w:sz w:val="21"/>
          <w:szCs w:val="21"/>
          <w:highlight w:val="none"/>
        </w:rPr>
        <w:t>公示期结束且无异议后，</w:t>
      </w:r>
      <w:r>
        <w:rPr>
          <w:rFonts w:hint="eastAsia" w:ascii="宋体" w:hAnsi="宋体" w:eastAsia="宋体" w:cs="宋体"/>
          <w:color w:val="auto"/>
          <w:spacing w:val="0"/>
          <w:kern w:val="2"/>
          <w:sz w:val="21"/>
          <w:szCs w:val="21"/>
          <w:highlight w:val="none"/>
          <w:lang w:eastAsia="zh-CN"/>
        </w:rPr>
        <w:t>招募人</w:t>
      </w:r>
      <w:r>
        <w:rPr>
          <w:rFonts w:hint="eastAsia" w:ascii="宋体" w:hAnsi="宋体" w:eastAsia="宋体" w:cs="宋体"/>
          <w:color w:val="auto"/>
          <w:spacing w:val="0"/>
          <w:kern w:val="2"/>
          <w:sz w:val="21"/>
          <w:szCs w:val="21"/>
          <w:highlight w:val="none"/>
        </w:rPr>
        <w:t>将确定排名第一的中标候选人为中标单位。排名第一的中标候选人放弃中标、因不可抗力不能履行合同、不按照比选文件要求提交履约保证金，或者被查实存在影响中标结果的违法行为等情形，不符合中标条件的，</w:t>
      </w:r>
      <w:r>
        <w:rPr>
          <w:rFonts w:hint="eastAsia" w:ascii="宋体" w:hAnsi="宋体" w:eastAsia="宋体" w:cs="宋体"/>
          <w:color w:val="auto"/>
          <w:spacing w:val="0"/>
          <w:kern w:val="2"/>
          <w:sz w:val="21"/>
          <w:szCs w:val="21"/>
          <w:highlight w:val="none"/>
          <w:lang w:eastAsia="zh-CN"/>
        </w:rPr>
        <w:t>招募人</w:t>
      </w:r>
      <w:r>
        <w:rPr>
          <w:rFonts w:hint="eastAsia" w:ascii="宋体" w:hAnsi="宋体" w:eastAsia="宋体" w:cs="宋体"/>
          <w:color w:val="auto"/>
          <w:spacing w:val="0"/>
          <w:kern w:val="2"/>
          <w:sz w:val="21"/>
          <w:szCs w:val="21"/>
          <w:highlight w:val="none"/>
        </w:rPr>
        <w:t xml:space="preserve">可以按照评标委员会提出的中标候选人名单排序依次确定其他中标候选人为中标人，也可以重新采购。 </w:t>
      </w:r>
    </w:p>
    <w:p w14:paraId="6BCE43C6">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kern w:val="2"/>
          <w:sz w:val="21"/>
          <w:szCs w:val="21"/>
          <w:highlight w:val="none"/>
        </w:rPr>
        <w:t>28.评审结果异议</w:t>
      </w:r>
    </w:p>
    <w:p w14:paraId="42652225">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28.1</w:t>
      </w:r>
      <w:r>
        <w:rPr>
          <w:rFonts w:hint="eastAsia" w:ascii="宋体" w:hAnsi="宋体" w:eastAsia="宋体" w:cs="宋体"/>
          <w:color w:val="auto"/>
          <w:spacing w:val="0"/>
          <w:sz w:val="21"/>
          <w:szCs w:val="21"/>
          <w:highlight w:val="none"/>
          <w:lang w:eastAsia="zh-CN"/>
        </w:rPr>
        <w:t>投标人</w:t>
      </w:r>
      <w:r>
        <w:rPr>
          <w:rFonts w:hint="eastAsia" w:ascii="宋体" w:hAnsi="宋体" w:eastAsia="宋体" w:cs="宋体"/>
          <w:color w:val="auto"/>
          <w:spacing w:val="0"/>
          <w:sz w:val="21"/>
          <w:szCs w:val="21"/>
          <w:highlight w:val="none"/>
        </w:rPr>
        <w:t>对评审结果有异议的，应当在成交结果公示期间提出。</w:t>
      </w:r>
    </w:p>
    <w:p w14:paraId="4EB3793C">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bCs/>
          <w:color w:val="auto"/>
          <w:spacing w:val="0"/>
          <w:sz w:val="21"/>
          <w:szCs w:val="21"/>
          <w:highlight w:val="none"/>
        </w:rPr>
      </w:pPr>
      <w:r>
        <w:rPr>
          <w:rFonts w:hint="eastAsia" w:ascii="宋体" w:hAnsi="宋体" w:eastAsia="宋体" w:cs="宋体"/>
          <w:bCs/>
          <w:color w:val="auto"/>
          <w:spacing w:val="0"/>
          <w:sz w:val="21"/>
          <w:szCs w:val="21"/>
          <w:highlight w:val="none"/>
        </w:rPr>
        <w:t>28.2</w:t>
      </w:r>
      <w:r>
        <w:rPr>
          <w:rFonts w:hint="eastAsia" w:ascii="宋体" w:hAnsi="宋体" w:eastAsia="宋体" w:cs="宋体"/>
          <w:bCs/>
          <w:color w:val="auto"/>
          <w:spacing w:val="0"/>
          <w:sz w:val="21"/>
          <w:szCs w:val="21"/>
          <w:highlight w:val="none"/>
          <w:lang w:eastAsia="zh-CN"/>
        </w:rPr>
        <w:t>投标人</w:t>
      </w:r>
      <w:r>
        <w:rPr>
          <w:rFonts w:hint="eastAsia" w:ascii="宋体" w:hAnsi="宋体" w:eastAsia="宋体" w:cs="宋体"/>
          <w:bCs/>
          <w:color w:val="auto"/>
          <w:spacing w:val="0"/>
          <w:sz w:val="21"/>
          <w:szCs w:val="21"/>
          <w:highlight w:val="none"/>
        </w:rPr>
        <w:t>或者其他利害关系人就下列事项投诉的，应当按照相关规定向</w:t>
      </w:r>
      <w:r>
        <w:rPr>
          <w:rFonts w:hint="eastAsia" w:ascii="宋体" w:hAnsi="宋体" w:eastAsia="宋体" w:cs="宋体"/>
          <w:bCs/>
          <w:color w:val="auto"/>
          <w:spacing w:val="0"/>
          <w:sz w:val="21"/>
          <w:szCs w:val="21"/>
          <w:highlight w:val="none"/>
          <w:lang w:eastAsia="zh-CN"/>
        </w:rPr>
        <w:t>招募人</w:t>
      </w:r>
      <w:r>
        <w:rPr>
          <w:rFonts w:hint="eastAsia" w:ascii="宋体" w:hAnsi="宋体" w:eastAsia="宋体" w:cs="宋体"/>
          <w:bCs/>
          <w:color w:val="auto"/>
          <w:spacing w:val="0"/>
          <w:sz w:val="21"/>
          <w:szCs w:val="21"/>
          <w:highlight w:val="none"/>
        </w:rPr>
        <w:t>提出异议：</w:t>
      </w:r>
    </w:p>
    <w:p w14:paraId="535DB3AB">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bCs/>
          <w:color w:val="auto"/>
          <w:spacing w:val="0"/>
          <w:sz w:val="21"/>
          <w:szCs w:val="21"/>
          <w:highlight w:val="none"/>
        </w:rPr>
      </w:pPr>
      <w:r>
        <w:rPr>
          <w:rFonts w:hint="eastAsia" w:ascii="宋体" w:hAnsi="宋体" w:eastAsia="宋体" w:cs="宋体"/>
          <w:bCs/>
          <w:color w:val="auto"/>
          <w:spacing w:val="0"/>
          <w:sz w:val="21"/>
          <w:szCs w:val="21"/>
          <w:highlight w:val="none"/>
        </w:rPr>
        <w:t>（1）认为比选文件不符合相关法律法规规范性文件规定，应当在投标截止时间3日前向</w:t>
      </w:r>
      <w:r>
        <w:rPr>
          <w:rFonts w:hint="eastAsia" w:ascii="宋体" w:hAnsi="宋体" w:eastAsia="宋体" w:cs="宋体"/>
          <w:bCs/>
          <w:color w:val="auto"/>
          <w:spacing w:val="0"/>
          <w:sz w:val="21"/>
          <w:szCs w:val="21"/>
          <w:highlight w:val="none"/>
          <w:lang w:eastAsia="zh-CN"/>
        </w:rPr>
        <w:t>招募人</w:t>
      </w:r>
      <w:r>
        <w:rPr>
          <w:rFonts w:hint="eastAsia" w:ascii="宋体" w:hAnsi="宋体" w:eastAsia="宋体" w:cs="宋体"/>
          <w:bCs/>
          <w:color w:val="auto"/>
          <w:spacing w:val="0"/>
          <w:sz w:val="21"/>
          <w:szCs w:val="21"/>
          <w:highlight w:val="none"/>
          <w:lang w:val="en-US" w:eastAsia="zh-CN"/>
        </w:rPr>
        <w:t>或招募代理机构</w:t>
      </w:r>
      <w:r>
        <w:rPr>
          <w:rFonts w:hint="eastAsia" w:ascii="宋体" w:hAnsi="宋体" w:eastAsia="宋体" w:cs="宋体"/>
          <w:bCs/>
          <w:color w:val="auto"/>
          <w:spacing w:val="0"/>
          <w:sz w:val="21"/>
          <w:szCs w:val="21"/>
          <w:highlight w:val="none"/>
        </w:rPr>
        <w:t>提出异议；</w:t>
      </w:r>
    </w:p>
    <w:p w14:paraId="6A5CE843">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bCs/>
          <w:color w:val="auto"/>
          <w:spacing w:val="0"/>
          <w:sz w:val="21"/>
          <w:szCs w:val="21"/>
          <w:highlight w:val="none"/>
        </w:rPr>
      </w:pPr>
      <w:r>
        <w:rPr>
          <w:rFonts w:hint="eastAsia" w:ascii="宋体" w:hAnsi="宋体" w:eastAsia="宋体" w:cs="宋体"/>
          <w:bCs/>
          <w:color w:val="auto"/>
          <w:spacing w:val="0"/>
          <w:sz w:val="21"/>
          <w:szCs w:val="21"/>
          <w:highlight w:val="none"/>
        </w:rPr>
        <w:t>（2）认为开标活动不符合相关法律法规规范性文件规定的，应当在开标现场提出异议；</w:t>
      </w:r>
    </w:p>
    <w:p w14:paraId="0067F2DF">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bCs/>
          <w:color w:val="auto"/>
          <w:spacing w:val="0"/>
          <w:sz w:val="21"/>
          <w:szCs w:val="21"/>
          <w:highlight w:val="none"/>
        </w:rPr>
      </w:pPr>
      <w:r>
        <w:rPr>
          <w:rFonts w:hint="eastAsia" w:ascii="宋体" w:hAnsi="宋体" w:eastAsia="宋体" w:cs="宋体"/>
          <w:bCs/>
          <w:color w:val="auto"/>
          <w:spacing w:val="0"/>
          <w:sz w:val="21"/>
          <w:szCs w:val="21"/>
          <w:highlight w:val="none"/>
        </w:rPr>
        <w:t>（3）对评标结果有异议的，在中标候选人公示期内以书面形式向</w:t>
      </w:r>
      <w:r>
        <w:rPr>
          <w:rFonts w:hint="eastAsia" w:ascii="宋体" w:hAnsi="宋体" w:eastAsia="宋体" w:cs="宋体"/>
          <w:bCs/>
          <w:color w:val="auto"/>
          <w:spacing w:val="0"/>
          <w:sz w:val="21"/>
          <w:szCs w:val="21"/>
          <w:highlight w:val="none"/>
          <w:lang w:eastAsia="zh-CN"/>
        </w:rPr>
        <w:t>招募人</w:t>
      </w:r>
      <w:r>
        <w:rPr>
          <w:rFonts w:hint="eastAsia" w:ascii="宋体" w:hAnsi="宋体" w:eastAsia="宋体" w:cs="宋体"/>
          <w:bCs/>
          <w:color w:val="auto"/>
          <w:spacing w:val="0"/>
          <w:sz w:val="21"/>
          <w:szCs w:val="21"/>
          <w:highlight w:val="none"/>
          <w:lang w:val="en-US" w:eastAsia="zh-CN"/>
        </w:rPr>
        <w:t>或招募代理机构</w:t>
      </w:r>
      <w:r>
        <w:rPr>
          <w:rFonts w:hint="eastAsia" w:ascii="宋体" w:hAnsi="宋体" w:eastAsia="宋体" w:cs="宋体"/>
          <w:bCs/>
          <w:color w:val="auto"/>
          <w:spacing w:val="0"/>
          <w:sz w:val="21"/>
          <w:szCs w:val="21"/>
          <w:highlight w:val="none"/>
        </w:rPr>
        <w:t>提出</w:t>
      </w:r>
      <w:r>
        <w:rPr>
          <w:rFonts w:hint="eastAsia" w:ascii="宋体" w:hAnsi="宋体" w:eastAsia="宋体" w:cs="宋体"/>
          <w:bCs/>
          <w:color w:val="auto"/>
          <w:spacing w:val="0"/>
          <w:sz w:val="21"/>
          <w:szCs w:val="21"/>
          <w:highlight w:val="none"/>
          <w:lang w:eastAsia="zh-CN"/>
        </w:rPr>
        <w:t>。</w:t>
      </w:r>
    </w:p>
    <w:p w14:paraId="7EFD6C07">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29.</w:t>
      </w:r>
      <w:r>
        <w:rPr>
          <w:rFonts w:hint="eastAsia" w:ascii="宋体" w:hAnsi="宋体" w:eastAsia="宋体" w:cs="宋体"/>
          <w:b/>
          <w:color w:val="auto"/>
          <w:sz w:val="21"/>
          <w:szCs w:val="21"/>
          <w:highlight w:val="none"/>
          <w:lang w:eastAsia="zh-CN"/>
        </w:rPr>
        <w:t>中标通知</w:t>
      </w:r>
    </w:p>
    <w:p w14:paraId="3C4A86B2">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29.1</w:t>
      </w:r>
      <w:r>
        <w:rPr>
          <w:rFonts w:hint="eastAsia" w:ascii="宋体" w:hAnsi="宋体" w:eastAsia="宋体" w:cs="宋体"/>
          <w:color w:val="auto"/>
          <w:spacing w:val="0"/>
          <w:kern w:val="2"/>
          <w:sz w:val="21"/>
          <w:szCs w:val="21"/>
          <w:highlight w:val="none"/>
          <w:lang w:eastAsia="zh-CN"/>
        </w:rPr>
        <w:t>中标供应商</w:t>
      </w:r>
      <w:r>
        <w:rPr>
          <w:rFonts w:hint="eastAsia" w:ascii="宋体" w:hAnsi="宋体" w:eastAsia="宋体" w:cs="宋体"/>
          <w:color w:val="auto"/>
          <w:spacing w:val="0"/>
          <w:kern w:val="2"/>
          <w:sz w:val="21"/>
          <w:szCs w:val="21"/>
          <w:highlight w:val="none"/>
        </w:rPr>
        <w:t>确定后，</w:t>
      </w:r>
      <w:r>
        <w:rPr>
          <w:rFonts w:hint="eastAsia" w:ascii="宋体" w:hAnsi="宋体" w:eastAsia="宋体" w:cs="宋体"/>
          <w:color w:val="auto"/>
          <w:spacing w:val="0"/>
          <w:kern w:val="2"/>
          <w:sz w:val="21"/>
          <w:szCs w:val="21"/>
          <w:highlight w:val="none"/>
          <w:lang w:eastAsia="zh-CN"/>
        </w:rPr>
        <w:t>招募人</w:t>
      </w:r>
      <w:r>
        <w:rPr>
          <w:rFonts w:hint="eastAsia" w:ascii="宋体" w:hAnsi="宋体" w:eastAsia="宋体" w:cs="宋体"/>
          <w:color w:val="auto"/>
          <w:spacing w:val="0"/>
          <w:kern w:val="2"/>
          <w:sz w:val="21"/>
          <w:szCs w:val="21"/>
          <w:highlight w:val="none"/>
        </w:rPr>
        <w:t>或</w:t>
      </w:r>
      <w:r>
        <w:rPr>
          <w:rFonts w:hint="eastAsia" w:ascii="宋体" w:hAnsi="宋体" w:eastAsia="宋体" w:cs="宋体"/>
          <w:color w:val="auto"/>
          <w:spacing w:val="0"/>
          <w:kern w:val="2"/>
          <w:sz w:val="21"/>
          <w:szCs w:val="21"/>
          <w:highlight w:val="none"/>
          <w:lang w:eastAsia="zh-CN"/>
        </w:rPr>
        <w:t>招募代理机构</w:t>
      </w:r>
      <w:r>
        <w:rPr>
          <w:rFonts w:hint="eastAsia" w:ascii="宋体" w:hAnsi="宋体" w:eastAsia="宋体" w:cs="宋体"/>
          <w:color w:val="auto"/>
          <w:spacing w:val="0"/>
          <w:kern w:val="2"/>
          <w:sz w:val="21"/>
          <w:szCs w:val="21"/>
          <w:highlight w:val="none"/>
        </w:rPr>
        <w:t>将以书面形式向</w:t>
      </w:r>
      <w:r>
        <w:rPr>
          <w:rFonts w:hint="eastAsia" w:ascii="宋体" w:hAnsi="宋体" w:eastAsia="宋体" w:cs="宋体"/>
          <w:color w:val="auto"/>
          <w:spacing w:val="0"/>
          <w:kern w:val="2"/>
          <w:sz w:val="21"/>
          <w:szCs w:val="21"/>
          <w:highlight w:val="none"/>
          <w:lang w:eastAsia="zh-CN"/>
        </w:rPr>
        <w:t>中标供应商</w:t>
      </w:r>
      <w:r>
        <w:rPr>
          <w:rFonts w:hint="eastAsia" w:ascii="宋体" w:hAnsi="宋体" w:eastAsia="宋体" w:cs="宋体"/>
          <w:color w:val="auto"/>
          <w:spacing w:val="0"/>
          <w:kern w:val="2"/>
          <w:sz w:val="21"/>
          <w:szCs w:val="21"/>
          <w:highlight w:val="none"/>
        </w:rPr>
        <w:t>发出</w:t>
      </w:r>
      <w:r>
        <w:rPr>
          <w:rFonts w:hint="eastAsia" w:ascii="宋体" w:hAnsi="宋体" w:eastAsia="宋体" w:cs="宋体"/>
          <w:color w:val="auto"/>
          <w:spacing w:val="0"/>
          <w:kern w:val="2"/>
          <w:sz w:val="21"/>
          <w:szCs w:val="21"/>
          <w:highlight w:val="none"/>
          <w:lang w:eastAsia="zh-CN"/>
        </w:rPr>
        <w:t>中标通知</w:t>
      </w:r>
      <w:r>
        <w:rPr>
          <w:rFonts w:hint="eastAsia" w:ascii="宋体" w:hAnsi="宋体" w:eastAsia="宋体" w:cs="宋体"/>
          <w:color w:val="auto"/>
          <w:spacing w:val="0"/>
          <w:kern w:val="2"/>
          <w:sz w:val="21"/>
          <w:szCs w:val="21"/>
          <w:highlight w:val="none"/>
        </w:rPr>
        <w:t>书。</w:t>
      </w:r>
      <w:r>
        <w:rPr>
          <w:rFonts w:hint="eastAsia" w:ascii="宋体" w:hAnsi="宋体" w:eastAsia="宋体" w:cs="宋体"/>
          <w:color w:val="auto"/>
          <w:spacing w:val="0"/>
          <w:kern w:val="2"/>
          <w:sz w:val="21"/>
          <w:szCs w:val="21"/>
          <w:highlight w:val="none"/>
          <w:lang w:eastAsia="zh-CN"/>
        </w:rPr>
        <w:t>中标通知</w:t>
      </w:r>
      <w:r>
        <w:rPr>
          <w:rFonts w:hint="eastAsia" w:ascii="宋体" w:hAnsi="宋体" w:eastAsia="宋体" w:cs="宋体"/>
          <w:color w:val="auto"/>
          <w:spacing w:val="0"/>
          <w:kern w:val="2"/>
          <w:sz w:val="21"/>
          <w:szCs w:val="21"/>
          <w:highlight w:val="none"/>
        </w:rPr>
        <w:t>书对</w:t>
      </w:r>
      <w:r>
        <w:rPr>
          <w:rFonts w:hint="eastAsia" w:ascii="宋体" w:hAnsi="宋体" w:eastAsia="宋体" w:cs="宋体"/>
          <w:color w:val="auto"/>
          <w:spacing w:val="0"/>
          <w:kern w:val="2"/>
          <w:sz w:val="21"/>
          <w:szCs w:val="21"/>
          <w:highlight w:val="none"/>
          <w:lang w:eastAsia="zh-CN"/>
        </w:rPr>
        <w:t>招募人</w:t>
      </w:r>
      <w:r>
        <w:rPr>
          <w:rFonts w:hint="eastAsia" w:ascii="宋体" w:hAnsi="宋体" w:eastAsia="宋体" w:cs="宋体"/>
          <w:color w:val="auto"/>
          <w:spacing w:val="0"/>
          <w:kern w:val="2"/>
          <w:sz w:val="21"/>
          <w:szCs w:val="21"/>
          <w:highlight w:val="none"/>
        </w:rPr>
        <w:t>和</w:t>
      </w:r>
      <w:r>
        <w:rPr>
          <w:rFonts w:hint="eastAsia" w:ascii="宋体" w:hAnsi="宋体" w:eastAsia="宋体" w:cs="宋体"/>
          <w:color w:val="auto"/>
          <w:spacing w:val="0"/>
          <w:kern w:val="2"/>
          <w:sz w:val="21"/>
          <w:szCs w:val="21"/>
          <w:highlight w:val="none"/>
          <w:lang w:eastAsia="zh-CN"/>
        </w:rPr>
        <w:t>中标供应商</w:t>
      </w:r>
      <w:r>
        <w:rPr>
          <w:rFonts w:hint="eastAsia" w:ascii="宋体" w:hAnsi="宋体" w:eastAsia="宋体" w:cs="宋体"/>
          <w:color w:val="auto"/>
          <w:spacing w:val="0"/>
          <w:kern w:val="2"/>
          <w:sz w:val="21"/>
          <w:szCs w:val="21"/>
          <w:highlight w:val="none"/>
        </w:rPr>
        <w:t>具有同等法律效力。</w:t>
      </w:r>
    </w:p>
    <w:p w14:paraId="728A5B52">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 xml:space="preserve">29.2 </w:t>
      </w:r>
      <w:r>
        <w:rPr>
          <w:rFonts w:hint="eastAsia" w:ascii="宋体" w:hAnsi="宋体" w:eastAsia="宋体" w:cs="宋体"/>
          <w:color w:val="auto"/>
          <w:spacing w:val="0"/>
          <w:kern w:val="2"/>
          <w:sz w:val="21"/>
          <w:szCs w:val="21"/>
          <w:highlight w:val="none"/>
          <w:lang w:eastAsia="zh-CN"/>
        </w:rPr>
        <w:t>中标通知</w:t>
      </w:r>
      <w:r>
        <w:rPr>
          <w:rFonts w:hint="eastAsia" w:ascii="宋体" w:hAnsi="宋体" w:eastAsia="宋体" w:cs="宋体"/>
          <w:color w:val="auto"/>
          <w:spacing w:val="0"/>
          <w:kern w:val="2"/>
          <w:sz w:val="21"/>
          <w:szCs w:val="21"/>
          <w:highlight w:val="none"/>
        </w:rPr>
        <w:t>书是合同文件的组成部分。</w:t>
      </w:r>
    </w:p>
    <w:p w14:paraId="4E6D1838">
      <w:pPr>
        <w:keepNext w:val="0"/>
        <w:keepLines w:val="0"/>
        <w:pageBreakBefore w:val="0"/>
        <w:tabs>
          <w:tab w:val="left" w:pos="7560"/>
          <w:tab w:val="left" w:pos="7740"/>
          <w:tab w:val="left" w:pos="7920"/>
        </w:tabs>
        <w:kinsoku/>
        <w:overflowPunct/>
        <w:topLinePunct w:val="0"/>
        <w:autoSpaceDE/>
        <w:autoSpaceDN w:val="0"/>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29.3 </w:t>
      </w:r>
      <w:r>
        <w:rPr>
          <w:rFonts w:hint="eastAsia" w:ascii="宋体" w:hAnsi="宋体" w:eastAsia="宋体" w:cs="宋体"/>
          <w:color w:val="auto"/>
          <w:sz w:val="21"/>
          <w:szCs w:val="21"/>
          <w:highlight w:val="none"/>
          <w:lang w:eastAsia="zh-CN"/>
        </w:rPr>
        <w:t>中标供应商</w:t>
      </w:r>
      <w:r>
        <w:rPr>
          <w:rFonts w:hint="eastAsia" w:ascii="宋体" w:hAnsi="宋体" w:eastAsia="宋体" w:cs="宋体"/>
          <w:color w:val="auto"/>
          <w:sz w:val="21"/>
          <w:szCs w:val="21"/>
          <w:highlight w:val="none"/>
        </w:rPr>
        <w:t>应按照</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须知前附表</w:t>
      </w:r>
      <w:r>
        <w:rPr>
          <w:rFonts w:hint="eastAsia" w:ascii="宋体" w:hAnsi="宋体" w:eastAsia="宋体" w:cs="宋体"/>
          <w:b/>
          <w:color w:val="auto"/>
          <w:sz w:val="21"/>
          <w:szCs w:val="21"/>
          <w:highlight w:val="none"/>
          <w:lang w:val="en-US" w:eastAsia="zh-CN"/>
        </w:rPr>
        <w:t>及合同</w:t>
      </w:r>
      <w:r>
        <w:rPr>
          <w:rFonts w:hint="eastAsia" w:ascii="宋体" w:hAnsi="宋体" w:eastAsia="宋体" w:cs="宋体"/>
          <w:color w:val="auto"/>
          <w:sz w:val="21"/>
          <w:szCs w:val="21"/>
          <w:highlight w:val="none"/>
        </w:rPr>
        <w:t>的规定，向</w:t>
      </w:r>
      <w:r>
        <w:rPr>
          <w:rFonts w:hint="eastAsia" w:ascii="宋体" w:hAnsi="宋体" w:eastAsia="宋体" w:cs="宋体"/>
          <w:color w:val="auto"/>
          <w:sz w:val="21"/>
          <w:szCs w:val="21"/>
          <w:highlight w:val="none"/>
          <w:lang w:eastAsia="zh-CN"/>
        </w:rPr>
        <w:t>招募人</w:t>
      </w:r>
      <w:r>
        <w:rPr>
          <w:rFonts w:hint="eastAsia" w:ascii="宋体" w:hAnsi="宋体" w:eastAsia="宋体" w:cs="宋体"/>
          <w:color w:val="auto"/>
          <w:sz w:val="21"/>
          <w:szCs w:val="21"/>
          <w:highlight w:val="none"/>
        </w:rPr>
        <w:t>提交履约担保。联合体成交的，履约担保由联合体各方或联合体中牵头人的名义提交。</w:t>
      </w:r>
    </w:p>
    <w:p w14:paraId="1A295157">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 xml:space="preserve">29.4 </w:t>
      </w:r>
      <w:r>
        <w:rPr>
          <w:rFonts w:hint="eastAsia" w:ascii="宋体" w:hAnsi="宋体" w:eastAsia="宋体" w:cs="宋体"/>
          <w:color w:val="auto"/>
          <w:spacing w:val="0"/>
          <w:kern w:val="2"/>
          <w:sz w:val="21"/>
          <w:szCs w:val="21"/>
          <w:highlight w:val="none"/>
          <w:lang w:eastAsia="zh-CN"/>
        </w:rPr>
        <w:t>中标供应商</w:t>
      </w:r>
      <w:r>
        <w:rPr>
          <w:rFonts w:hint="eastAsia" w:ascii="宋体" w:hAnsi="宋体" w:eastAsia="宋体" w:cs="宋体"/>
          <w:color w:val="auto"/>
          <w:spacing w:val="0"/>
          <w:kern w:val="2"/>
          <w:sz w:val="21"/>
          <w:szCs w:val="21"/>
          <w:highlight w:val="none"/>
        </w:rPr>
        <w:t>没有按照本章第29.3</w:t>
      </w:r>
      <w:r>
        <w:rPr>
          <w:rFonts w:hint="eastAsia" w:ascii="宋体" w:hAnsi="宋体" w:eastAsia="宋体" w:cs="宋体"/>
          <w:color w:val="auto"/>
          <w:spacing w:val="0"/>
          <w:sz w:val="21"/>
          <w:szCs w:val="21"/>
          <w:highlight w:val="none"/>
          <w:lang w:val="zh-CN"/>
        </w:rPr>
        <w:t>款</w:t>
      </w:r>
      <w:r>
        <w:rPr>
          <w:rFonts w:hint="eastAsia" w:ascii="宋体" w:hAnsi="宋体" w:eastAsia="宋体" w:cs="宋体"/>
          <w:color w:val="auto"/>
          <w:spacing w:val="0"/>
          <w:kern w:val="2"/>
          <w:sz w:val="21"/>
          <w:szCs w:val="21"/>
          <w:highlight w:val="none"/>
        </w:rPr>
        <w:t>规定提交履约担保的，视为放弃成交资格，其投标保证金不予退还。</w:t>
      </w:r>
    </w:p>
    <w:p w14:paraId="39D96204">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30.签订合同</w:t>
      </w:r>
    </w:p>
    <w:p w14:paraId="6A39C03B">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30.1 比选文件、</w:t>
      </w:r>
      <w:r>
        <w:rPr>
          <w:rFonts w:hint="eastAsia" w:ascii="宋体" w:hAnsi="宋体" w:eastAsia="宋体" w:cs="宋体"/>
          <w:color w:val="auto"/>
          <w:spacing w:val="0"/>
          <w:kern w:val="2"/>
          <w:sz w:val="21"/>
          <w:szCs w:val="21"/>
          <w:highlight w:val="none"/>
          <w:lang w:eastAsia="zh-CN"/>
        </w:rPr>
        <w:t>中标供应商</w:t>
      </w:r>
      <w:r>
        <w:rPr>
          <w:rFonts w:hint="eastAsia" w:ascii="宋体" w:hAnsi="宋体" w:eastAsia="宋体" w:cs="宋体"/>
          <w:color w:val="auto"/>
          <w:spacing w:val="0"/>
          <w:kern w:val="2"/>
          <w:sz w:val="21"/>
          <w:szCs w:val="21"/>
          <w:highlight w:val="none"/>
        </w:rPr>
        <w:t>的</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及其补充的</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等均为签订采购合同的依据。</w:t>
      </w:r>
    </w:p>
    <w:p w14:paraId="189D7354">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 xml:space="preserve">30.2 </w:t>
      </w:r>
      <w:r>
        <w:rPr>
          <w:rFonts w:hint="eastAsia" w:ascii="宋体" w:hAnsi="宋体" w:eastAsia="宋体" w:cs="宋体"/>
          <w:color w:val="auto"/>
          <w:spacing w:val="0"/>
          <w:kern w:val="2"/>
          <w:sz w:val="21"/>
          <w:szCs w:val="21"/>
          <w:highlight w:val="none"/>
          <w:lang w:eastAsia="zh-CN"/>
        </w:rPr>
        <w:t>中标供应商</w:t>
      </w:r>
      <w:r>
        <w:rPr>
          <w:rFonts w:hint="eastAsia" w:ascii="宋体" w:hAnsi="宋体" w:eastAsia="宋体" w:cs="宋体"/>
          <w:color w:val="auto"/>
          <w:spacing w:val="0"/>
          <w:kern w:val="2"/>
          <w:sz w:val="21"/>
          <w:szCs w:val="21"/>
          <w:highlight w:val="none"/>
        </w:rPr>
        <w:t>应当在</w:t>
      </w:r>
      <w:r>
        <w:rPr>
          <w:rFonts w:hint="eastAsia" w:ascii="宋体" w:hAnsi="宋体" w:eastAsia="宋体" w:cs="宋体"/>
          <w:color w:val="auto"/>
          <w:spacing w:val="0"/>
          <w:kern w:val="2"/>
          <w:sz w:val="21"/>
          <w:szCs w:val="21"/>
          <w:highlight w:val="none"/>
          <w:lang w:val="en-US" w:eastAsia="zh-CN"/>
        </w:rPr>
        <w:t>规定时间</w:t>
      </w:r>
      <w:r>
        <w:rPr>
          <w:rFonts w:hint="eastAsia" w:ascii="宋体" w:hAnsi="宋体" w:eastAsia="宋体" w:cs="宋体"/>
          <w:color w:val="auto"/>
          <w:spacing w:val="0"/>
          <w:kern w:val="2"/>
          <w:sz w:val="21"/>
          <w:szCs w:val="21"/>
          <w:highlight w:val="none"/>
        </w:rPr>
        <w:t>内与</w:t>
      </w:r>
      <w:r>
        <w:rPr>
          <w:rFonts w:hint="eastAsia" w:ascii="宋体" w:hAnsi="宋体" w:eastAsia="宋体" w:cs="宋体"/>
          <w:color w:val="auto"/>
          <w:spacing w:val="0"/>
          <w:kern w:val="2"/>
          <w:sz w:val="21"/>
          <w:szCs w:val="21"/>
          <w:highlight w:val="none"/>
          <w:lang w:eastAsia="zh-CN"/>
        </w:rPr>
        <w:t>招募人</w:t>
      </w:r>
      <w:r>
        <w:rPr>
          <w:rFonts w:hint="eastAsia" w:ascii="宋体" w:hAnsi="宋体" w:eastAsia="宋体" w:cs="宋体"/>
          <w:color w:val="auto"/>
          <w:spacing w:val="0"/>
          <w:kern w:val="2"/>
          <w:sz w:val="21"/>
          <w:szCs w:val="21"/>
          <w:highlight w:val="none"/>
        </w:rPr>
        <w:t>签订采购合同。</w:t>
      </w:r>
    </w:p>
    <w:p w14:paraId="7B0646F4">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 xml:space="preserve">30.3 </w:t>
      </w:r>
      <w:r>
        <w:rPr>
          <w:rFonts w:hint="eastAsia" w:ascii="宋体" w:hAnsi="宋体" w:eastAsia="宋体" w:cs="宋体"/>
          <w:color w:val="auto"/>
          <w:spacing w:val="0"/>
          <w:kern w:val="2"/>
          <w:sz w:val="21"/>
          <w:szCs w:val="21"/>
          <w:highlight w:val="none"/>
          <w:lang w:eastAsia="zh-CN"/>
        </w:rPr>
        <w:t>中标供应商</w:t>
      </w:r>
      <w:r>
        <w:rPr>
          <w:rFonts w:hint="eastAsia" w:ascii="宋体" w:hAnsi="宋体" w:eastAsia="宋体" w:cs="宋体"/>
          <w:color w:val="auto"/>
          <w:spacing w:val="0"/>
          <w:kern w:val="2"/>
          <w:sz w:val="21"/>
          <w:szCs w:val="21"/>
          <w:highlight w:val="none"/>
        </w:rPr>
        <w:t>应当按照合同约定履行义务。</w:t>
      </w:r>
      <w:r>
        <w:rPr>
          <w:rFonts w:hint="eastAsia" w:ascii="宋体" w:hAnsi="宋体" w:eastAsia="宋体" w:cs="宋体"/>
          <w:color w:val="auto"/>
          <w:spacing w:val="0"/>
          <w:kern w:val="2"/>
          <w:sz w:val="21"/>
          <w:szCs w:val="21"/>
          <w:highlight w:val="none"/>
          <w:lang w:eastAsia="zh-CN"/>
        </w:rPr>
        <w:t>中标供应商</w:t>
      </w:r>
      <w:r>
        <w:rPr>
          <w:rFonts w:hint="eastAsia" w:ascii="宋体" w:hAnsi="宋体" w:eastAsia="宋体" w:cs="宋体"/>
          <w:color w:val="auto"/>
          <w:spacing w:val="0"/>
          <w:kern w:val="2"/>
          <w:sz w:val="21"/>
          <w:szCs w:val="21"/>
          <w:highlight w:val="none"/>
        </w:rPr>
        <w:t>不得向他人转让成交项目，也不得将成交项目分包后分别向他人转让。</w:t>
      </w:r>
    </w:p>
    <w:p w14:paraId="172546F7">
      <w:pPr>
        <w:pStyle w:val="16"/>
        <w:keepNext w:val="0"/>
        <w:keepLines w:val="0"/>
        <w:pageBreakBefore w:val="0"/>
        <w:kinsoku/>
        <w:overflowPunct/>
        <w:topLinePunct w:val="0"/>
        <w:autoSpaceDE/>
        <w:bidi w:val="0"/>
        <w:adjustRightInd w:val="0"/>
        <w:snapToGrid w:val="0"/>
        <w:spacing w:before="0" w:beforeAutospacing="0" w:after="0" w:afterAutospacing="0" w:line="312" w:lineRule="auto"/>
        <w:ind w:left="0" w:right="0" w:rightChars="0"/>
        <w:jc w:val="left"/>
        <w:textAlignment w:val="auto"/>
        <w:outlineLvl w:val="1"/>
        <w:rPr>
          <w:rFonts w:hint="eastAsia" w:ascii="宋体" w:hAnsi="宋体" w:eastAsia="宋体" w:cs="宋体"/>
          <w:b/>
          <w:color w:val="auto"/>
          <w:spacing w:val="0"/>
          <w:sz w:val="21"/>
          <w:szCs w:val="21"/>
          <w:highlight w:val="none"/>
        </w:rPr>
      </w:pPr>
      <w:bookmarkStart w:id="19" w:name="_Toc8703"/>
      <w:r>
        <w:rPr>
          <w:rFonts w:hint="eastAsia" w:ascii="宋体" w:hAnsi="宋体" w:eastAsia="宋体" w:cs="宋体"/>
          <w:b/>
          <w:color w:val="auto"/>
          <w:spacing w:val="0"/>
          <w:kern w:val="2"/>
          <w:sz w:val="21"/>
          <w:szCs w:val="21"/>
          <w:highlight w:val="none"/>
        </w:rPr>
        <w:t>七、其他规定</w:t>
      </w:r>
      <w:bookmarkEnd w:id="19"/>
    </w:p>
    <w:p w14:paraId="1F7DE1AD">
      <w:pPr>
        <w:keepNext w:val="0"/>
        <w:keepLines w:val="0"/>
        <w:pageBreakBefore w:val="0"/>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31.采购代理服务费</w:t>
      </w:r>
    </w:p>
    <w:p w14:paraId="755D972F">
      <w:pPr>
        <w:keepNext w:val="0"/>
        <w:keepLines w:val="0"/>
        <w:pageBreakBefore w:val="0"/>
        <w:tabs>
          <w:tab w:val="left" w:pos="420"/>
          <w:tab w:val="left" w:pos="7560"/>
          <w:tab w:val="left" w:pos="7740"/>
          <w:tab w:val="left" w:pos="7920"/>
        </w:tabs>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31.1</w:t>
      </w:r>
      <w:r>
        <w:rPr>
          <w:rFonts w:hint="eastAsia" w:ascii="宋体" w:hAnsi="宋体" w:eastAsia="宋体" w:cs="宋体"/>
          <w:color w:val="auto"/>
          <w:sz w:val="21"/>
          <w:szCs w:val="21"/>
          <w:highlight w:val="none"/>
          <w:lang w:eastAsia="zh-CN"/>
        </w:rPr>
        <w:t>招募代理机构</w:t>
      </w:r>
      <w:r>
        <w:rPr>
          <w:rFonts w:hint="eastAsia" w:ascii="宋体" w:hAnsi="宋体" w:eastAsia="宋体" w:cs="宋体"/>
          <w:color w:val="auto"/>
          <w:sz w:val="21"/>
          <w:szCs w:val="21"/>
          <w:highlight w:val="none"/>
        </w:rPr>
        <w:t>应按</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须知前附表规定收取代理服务费。</w:t>
      </w:r>
    </w:p>
    <w:p w14:paraId="62A6D012">
      <w:pPr>
        <w:keepNext w:val="0"/>
        <w:keepLines w:val="0"/>
        <w:pageBreakBefore w:val="0"/>
        <w:tabs>
          <w:tab w:val="left" w:pos="420"/>
          <w:tab w:val="left" w:pos="7560"/>
          <w:tab w:val="left" w:pos="7740"/>
          <w:tab w:val="left" w:pos="7920"/>
        </w:tabs>
        <w:kinsoku/>
        <w:overflowPunct/>
        <w:topLinePunct w:val="0"/>
        <w:autoSpaceDE/>
        <w:bidi w:val="0"/>
        <w:adjustRightInd w:val="0"/>
        <w:snapToGrid w:val="0"/>
        <w:spacing w:line="312" w:lineRule="auto"/>
        <w:ind w:left="0" w:right="0" w:right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32. 其他规定</w:t>
      </w:r>
    </w:p>
    <w:p w14:paraId="3F0ED5C7">
      <w:pPr>
        <w:keepNext w:val="0"/>
        <w:keepLines w:val="0"/>
        <w:pageBreakBefore w:val="0"/>
        <w:tabs>
          <w:tab w:val="left" w:pos="420"/>
          <w:tab w:val="left" w:pos="7560"/>
          <w:tab w:val="left" w:pos="7740"/>
          <w:tab w:val="left" w:pos="7920"/>
        </w:tabs>
        <w:kinsoku/>
        <w:overflowPunct/>
        <w:topLinePunct w:val="0"/>
        <w:autoSpaceDE/>
        <w:bidi w:val="0"/>
        <w:adjustRightInd w:val="0"/>
        <w:snapToGrid w:val="0"/>
        <w:spacing w:line="312" w:lineRule="auto"/>
        <w:ind w:left="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32.1比选文件的其他规定见</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须知前附表</w:t>
      </w:r>
      <w:r>
        <w:rPr>
          <w:rFonts w:hint="eastAsia" w:ascii="宋体" w:hAnsi="宋体" w:eastAsia="宋体" w:cs="宋体"/>
          <w:color w:val="auto"/>
          <w:sz w:val="21"/>
          <w:szCs w:val="21"/>
          <w:highlight w:val="none"/>
        </w:rPr>
        <w:t>。</w:t>
      </w:r>
    </w:p>
    <w:p w14:paraId="4AFB7B6C">
      <w:pPr>
        <w:tabs>
          <w:tab w:val="left" w:pos="420"/>
          <w:tab w:val="left" w:pos="7560"/>
          <w:tab w:val="left" w:pos="7740"/>
          <w:tab w:val="left" w:pos="7920"/>
        </w:tabs>
        <w:adjustRightInd w:val="0"/>
        <w:snapToGrid w:val="0"/>
        <w:spacing w:line="420" w:lineRule="exact"/>
        <w:ind w:firstLine="420" w:firstLineChars="200"/>
        <w:rPr>
          <w:rFonts w:hint="eastAsia" w:ascii="宋体" w:hAnsi="宋体" w:eastAsia="宋体" w:cs="宋体"/>
          <w:color w:val="auto"/>
          <w:szCs w:val="21"/>
          <w:highlight w:val="none"/>
        </w:rPr>
      </w:pPr>
    </w:p>
    <w:p w14:paraId="5AAD226F">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r>
        <w:rPr>
          <w:rFonts w:hint="eastAsia" w:ascii="宋体" w:hAnsi="宋体" w:eastAsia="宋体" w:cs="宋体"/>
          <w:b/>
          <w:color w:val="auto"/>
          <w:sz w:val="32"/>
          <w:szCs w:val="32"/>
          <w:highlight w:val="none"/>
        </w:rPr>
        <w:t xml:space="preserve"> </w:t>
      </w:r>
      <w:bookmarkStart w:id="20" w:name="_Toc4415"/>
      <w:bookmarkStart w:id="21" w:name="_Toc19687"/>
      <w:bookmarkStart w:id="22" w:name="_Toc28707"/>
      <w:bookmarkStart w:id="23" w:name="_Toc18428"/>
      <w:bookmarkStart w:id="24" w:name="_Toc29868"/>
      <w:r>
        <w:rPr>
          <w:rFonts w:hint="eastAsia" w:ascii="宋体" w:hAnsi="宋体" w:eastAsia="宋体" w:cs="宋体"/>
          <w:b/>
          <w:color w:val="auto"/>
          <w:sz w:val="32"/>
          <w:szCs w:val="32"/>
          <w:highlight w:val="none"/>
        </w:rPr>
        <w:t>评审办法及标准</w:t>
      </w:r>
      <w:bookmarkEnd w:id="20"/>
      <w:bookmarkEnd w:id="21"/>
      <w:bookmarkEnd w:id="22"/>
      <w:bookmarkEnd w:id="23"/>
      <w:bookmarkEnd w:id="24"/>
    </w:p>
    <w:p w14:paraId="52763F37">
      <w:pPr>
        <w:pStyle w:val="16"/>
        <w:keepNext/>
        <w:keepLines/>
        <w:pageBreakBefore w:val="0"/>
        <w:widowControl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b/>
          <w:color w:val="auto"/>
          <w:spacing w:val="0"/>
          <w:sz w:val="21"/>
          <w:szCs w:val="21"/>
          <w:highlight w:val="none"/>
        </w:rPr>
        <w:t>一、评标方法</w:t>
      </w:r>
    </w:p>
    <w:p w14:paraId="4E7FA01F">
      <w:pPr>
        <w:pageBreakBefore w:val="0"/>
        <w:widowControl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1.1本项目评标办法采用综合评</w:t>
      </w:r>
      <w:r>
        <w:rPr>
          <w:rFonts w:hint="eastAsia" w:ascii="宋体" w:hAnsi="宋体" w:eastAsia="宋体" w:cs="宋体"/>
          <w:color w:val="auto"/>
          <w:sz w:val="21"/>
          <w:szCs w:val="21"/>
          <w:highlight w:val="none"/>
          <w:lang w:eastAsia="zh-CN"/>
        </w:rPr>
        <w:t>分</w:t>
      </w:r>
      <w:r>
        <w:rPr>
          <w:rFonts w:hint="eastAsia" w:ascii="宋体" w:hAnsi="宋体" w:eastAsia="宋体" w:cs="宋体"/>
          <w:color w:val="auto"/>
          <w:sz w:val="21"/>
          <w:szCs w:val="21"/>
          <w:highlight w:val="none"/>
        </w:rPr>
        <w:t>法。评标委员会对满足比选文件实质性要求的</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，根据规定的评分标准进行评审评分，并按照评标总得分由高到低的顺序推荐中标单位。</w:t>
      </w:r>
    </w:p>
    <w:p w14:paraId="673C0C23">
      <w:pPr>
        <w:pStyle w:val="16"/>
        <w:pageBreakBefore w:val="0"/>
        <w:widowControl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1.2评标原则：评委应遵循“公平、公正、科学、择优”的原则。</w:t>
      </w:r>
    </w:p>
    <w:p w14:paraId="4EDFB54A">
      <w:pPr>
        <w:pStyle w:val="16"/>
        <w:pageBreakBefore w:val="0"/>
        <w:widowControl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1.3评标期间，评标人员应当严格遵守保密规定，不得泄露与评标有关的情况，不得索贿受贿，不得参加影响公正评标的任何活动。</w:t>
      </w:r>
    </w:p>
    <w:p w14:paraId="0A50E6AC">
      <w:pPr>
        <w:pStyle w:val="16"/>
        <w:keepNext/>
        <w:keepLines/>
        <w:pageBreakBefore w:val="0"/>
        <w:widowControl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b/>
          <w:color w:val="auto"/>
          <w:spacing w:val="0"/>
          <w:sz w:val="21"/>
          <w:szCs w:val="21"/>
          <w:highlight w:val="none"/>
        </w:rPr>
        <w:t>二、评审标准</w:t>
      </w:r>
    </w:p>
    <w:p w14:paraId="5B780E63">
      <w:pPr>
        <w:pStyle w:val="16"/>
        <w:keepNext/>
        <w:keepLines/>
        <w:pageBreakBefore w:val="0"/>
        <w:widowControl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b/>
          <w:color w:val="auto"/>
          <w:spacing w:val="0"/>
          <w:kern w:val="2"/>
          <w:sz w:val="21"/>
          <w:szCs w:val="21"/>
          <w:highlight w:val="none"/>
        </w:rPr>
        <w:t>2.1</w:t>
      </w:r>
      <w:r>
        <w:rPr>
          <w:rFonts w:hint="eastAsia" w:ascii="宋体" w:hAnsi="宋体" w:eastAsia="宋体" w:cs="宋体"/>
          <w:color w:val="auto"/>
          <w:spacing w:val="0"/>
          <w:kern w:val="2"/>
          <w:sz w:val="21"/>
          <w:szCs w:val="21"/>
          <w:highlight w:val="none"/>
        </w:rPr>
        <w:t xml:space="preserve"> 初步评审标准</w:t>
      </w:r>
    </w:p>
    <w:p w14:paraId="7835324B">
      <w:pPr>
        <w:pageBreakBefore w:val="0"/>
        <w:widowControl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xml:space="preserve"> 资格评审标准：见评标办法附表</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p>
    <w:p w14:paraId="775F25DD">
      <w:pPr>
        <w:pageBreakBefore w:val="0"/>
        <w:widowControl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 xml:space="preserve">2 </w:t>
      </w:r>
      <w:r>
        <w:rPr>
          <w:rFonts w:hint="eastAsia" w:ascii="宋体" w:hAnsi="宋体" w:eastAsia="宋体" w:cs="宋体"/>
          <w:color w:val="auto"/>
          <w:sz w:val="21"/>
          <w:szCs w:val="21"/>
          <w:highlight w:val="none"/>
        </w:rPr>
        <w:t>响应性评审标准：见评标办法附表</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p>
    <w:p w14:paraId="40A6DB31">
      <w:pPr>
        <w:pStyle w:val="16"/>
        <w:keepNext/>
        <w:keepLines/>
        <w:pageBreakBefore w:val="0"/>
        <w:widowControl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2.2 详细评审标准</w:t>
      </w:r>
    </w:p>
    <w:p w14:paraId="4B14AC16">
      <w:pPr>
        <w:pageBreakBefore w:val="0"/>
        <w:widowControl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 商务部分：见评标办法附表</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p w14:paraId="1BE0CC15">
      <w:pPr>
        <w:pageBreakBefore w:val="0"/>
        <w:widowControl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 技术部分：见评标办法附表</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p>
    <w:p w14:paraId="32D18AF7">
      <w:pPr>
        <w:pageBreakBefore w:val="0"/>
        <w:widowControl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投标报价：见评标办法附表</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w:t>
      </w:r>
    </w:p>
    <w:p w14:paraId="10473C9A">
      <w:pPr>
        <w:pageBreakBefore w:val="0"/>
        <w:widowControl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2.3权数取值表</w:t>
      </w:r>
    </w:p>
    <w:tbl>
      <w:tblPr>
        <w:tblStyle w:val="18"/>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4362"/>
        <w:gridCol w:w="2589"/>
      </w:tblGrid>
      <w:tr w14:paraId="01EC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14:paraId="2DCD5D1C">
            <w:pPr>
              <w:pageBreakBefore w:val="0"/>
              <w:kinsoku/>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4082" w:type="dxa"/>
            <w:tcBorders>
              <w:top w:val="single" w:color="auto" w:sz="4" w:space="0"/>
              <w:left w:val="single" w:color="auto" w:sz="4" w:space="0"/>
              <w:bottom w:val="single" w:color="auto" w:sz="4" w:space="0"/>
              <w:right w:val="single" w:color="auto" w:sz="4" w:space="0"/>
            </w:tcBorders>
            <w:shd w:val="clear" w:color="auto" w:fill="auto"/>
            <w:vAlign w:val="center"/>
          </w:tcPr>
          <w:p w14:paraId="5FA0D49E">
            <w:pPr>
              <w:pageBreakBefore w:val="0"/>
              <w:kinsoku/>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p>
        </w:tc>
        <w:tc>
          <w:tcPr>
            <w:tcW w:w="2423" w:type="dxa"/>
            <w:tcBorders>
              <w:top w:val="single" w:color="auto" w:sz="4" w:space="0"/>
              <w:left w:val="single" w:color="auto" w:sz="4" w:space="0"/>
              <w:bottom w:val="single" w:color="auto" w:sz="4" w:space="0"/>
              <w:right w:val="single" w:color="auto" w:sz="4" w:space="0"/>
            </w:tcBorders>
            <w:shd w:val="clear" w:color="auto" w:fill="auto"/>
            <w:vAlign w:val="center"/>
          </w:tcPr>
          <w:p w14:paraId="705BDCC3">
            <w:pPr>
              <w:pageBreakBefore w:val="0"/>
              <w:kinsoku/>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权重</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p>
        </w:tc>
      </w:tr>
      <w:tr w14:paraId="77E6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14:paraId="7B4292BC">
            <w:pPr>
              <w:pageBreakBefore w:val="0"/>
              <w:kinsoku/>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082" w:type="dxa"/>
            <w:tcBorders>
              <w:top w:val="single" w:color="auto" w:sz="4" w:space="0"/>
              <w:left w:val="single" w:color="auto" w:sz="4" w:space="0"/>
              <w:bottom w:val="single" w:color="auto" w:sz="4" w:space="0"/>
              <w:right w:val="single" w:color="auto" w:sz="4" w:space="0"/>
            </w:tcBorders>
            <w:shd w:val="clear" w:color="auto" w:fill="auto"/>
            <w:vAlign w:val="center"/>
          </w:tcPr>
          <w:p w14:paraId="6D40BB58">
            <w:pPr>
              <w:pageBreakBefore w:val="0"/>
              <w:kinsoku/>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商务部分</w:t>
            </w:r>
          </w:p>
        </w:tc>
        <w:tc>
          <w:tcPr>
            <w:tcW w:w="2423" w:type="dxa"/>
            <w:tcBorders>
              <w:top w:val="single" w:color="auto" w:sz="4" w:space="0"/>
              <w:left w:val="single" w:color="auto" w:sz="4" w:space="0"/>
              <w:bottom w:val="single" w:color="auto" w:sz="4" w:space="0"/>
              <w:right w:val="single" w:color="auto" w:sz="4" w:space="0"/>
            </w:tcBorders>
            <w:shd w:val="clear" w:color="auto" w:fill="auto"/>
            <w:vAlign w:val="center"/>
          </w:tcPr>
          <w:p w14:paraId="01CB6CFB">
            <w:pPr>
              <w:pageBreakBefore w:val="0"/>
              <w:kinsoku/>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r>
      <w:tr w14:paraId="0C3F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14:paraId="43CCC96E">
            <w:pPr>
              <w:pageBreakBefore w:val="0"/>
              <w:kinsoku/>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082" w:type="dxa"/>
            <w:tcBorders>
              <w:top w:val="single" w:color="auto" w:sz="4" w:space="0"/>
              <w:left w:val="single" w:color="auto" w:sz="4" w:space="0"/>
              <w:bottom w:val="single" w:color="auto" w:sz="4" w:space="0"/>
              <w:right w:val="single" w:color="auto" w:sz="4" w:space="0"/>
            </w:tcBorders>
            <w:shd w:val="clear" w:color="auto" w:fill="auto"/>
            <w:vAlign w:val="center"/>
          </w:tcPr>
          <w:p w14:paraId="5715FF22">
            <w:pPr>
              <w:pageBreakBefore w:val="0"/>
              <w:kinsoku/>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技术部分</w:t>
            </w:r>
          </w:p>
        </w:tc>
        <w:tc>
          <w:tcPr>
            <w:tcW w:w="2423" w:type="dxa"/>
            <w:tcBorders>
              <w:top w:val="single" w:color="auto" w:sz="4" w:space="0"/>
              <w:left w:val="single" w:color="auto" w:sz="4" w:space="0"/>
              <w:bottom w:val="single" w:color="auto" w:sz="4" w:space="0"/>
              <w:right w:val="single" w:color="auto" w:sz="4" w:space="0"/>
            </w:tcBorders>
            <w:shd w:val="clear" w:color="auto" w:fill="auto"/>
            <w:vAlign w:val="center"/>
          </w:tcPr>
          <w:p w14:paraId="2C4BEF22">
            <w:pPr>
              <w:pageBreakBefore w:val="0"/>
              <w:kinsoku/>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w:t>
            </w:r>
          </w:p>
        </w:tc>
      </w:tr>
      <w:tr w14:paraId="5FB3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4" w:type="dxa"/>
            <w:tcBorders>
              <w:top w:val="single" w:color="auto" w:sz="4" w:space="0"/>
              <w:left w:val="single" w:color="auto" w:sz="4" w:space="0"/>
              <w:bottom w:val="single" w:color="auto" w:sz="4" w:space="0"/>
              <w:right w:val="single" w:color="auto" w:sz="4" w:space="0"/>
            </w:tcBorders>
            <w:shd w:val="clear" w:color="auto" w:fill="auto"/>
            <w:vAlign w:val="center"/>
          </w:tcPr>
          <w:p w14:paraId="17B6821A">
            <w:pPr>
              <w:pageBreakBefore w:val="0"/>
              <w:kinsoku/>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082" w:type="dxa"/>
            <w:tcBorders>
              <w:top w:val="single" w:color="auto" w:sz="4" w:space="0"/>
              <w:left w:val="single" w:color="auto" w:sz="4" w:space="0"/>
              <w:bottom w:val="single" w:color="auto" w:sz="4" w:space="0"/>
              <w:right w:val="single" w:color="auto" w:sz="4" w:space="0"/>
            </w:tcBorders>
            <w:shd w:val="clear" w:color="auto" w:fill="auto"/>
            <w:vAlign w:val="center"/>
          </w:tcPr>
          <w:p w14:paraId="3304A328">
            <w:pPr>
              <w:pageBreakBefore w:val="0"/>
              <w:kinsoku/>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2423" w:type="dxa"/>
            <w:tcBorders>
              <w:top w:val="single" w:color="auto" w:sz="4" w:space="0"/>
              <w:left w:val="single" w:color="auto" w:sz="4" w:space="0"/>
              <w:bottom w:val="single" w:color="auto" w:sz="4" w:space="0"/>
              <w:right w:val="single" w:color="auto" w:sz="4" w:space="0"/>
            </w:tcBorders>
            <w:shd w:val="clear" w:color="auto" w:fill="auto"/>
            <w:vAlign w:val="center"/>
          </w:tcPr>
          <w:p w14:paraId="1288772B">
            <w:pPr>
              <w:pageBreakBefore w:val="0"/>
              <w:kinsoku/>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w:t>
            </w:r>
          </w:p>
        </w:tc>
      </w:tr>
      <w:tr w14:paraId="5A9D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3E6CAB">
            <w:pPr>
              <w:pageBreakBefore w:val="0"/>
              <w:kinsoku/>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合计</w:t>
            </w:r>
          </w:p>
        </w:tc>
        <w:tc>
          <w:tcPr>
            <w:tcW w:w="2423" w:type="dxa"/>
            <w:tcBorders>
              <w:top w:val="single" w:color="auto" w:sz="4" w:space="0"/>
              <w:left w:val="single" w:color="auto" w:sz="4" w:space="0"/>
              <w:bottom w:val="single" w:color="auto" w:sz="4" w:space="0"/>
              <w:right w:val="single" w:color="auto" w:sz="4" w:space="0"/>
            </w:tcBorders>
            <w:shd w:val="clear" w:color="auto" w:fill="auto"/>
            <w:vAlign w:val="center"/>
          </w:tcPr>
          <w:p w14:paraId="03B9D3ED">
            <w:pPr>
              <w:pageBreakBefore w:val="0"/>
              <w:kinsoku/>
              <w:overflowPunct/>
              <w:topLinePunct w:val="0"/>
              <w:autoSpaceDE/>
              <w:autoSpaceDN/>
              <w:bidi w:val="0"/>
              <w:spacing w:line="312"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w:t>
            </w:r>
          </w:p>
        </w:tc>
      </w:tr>
    </w:tbl>
    <w:p w14:paraId="61ABE6BB">
      <w:pPr>
        <w:pStyle w:val="16"/>
        <w:keepNext/>
        <w:keepLines/>
        <w:pageBreakBefore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b/>
          <w:color w:val="auto"/>
          <w:spacing w:val="0"/>
          <w:sz w:val="21"/>
          <w:szCs w:val="21"/>
          <w:highlight w:val="none"/>
        </w:rPr>
        <w:t>3.评标程序</w:t>
      </w:r>
    </w:p>
    <w:p w14:paraId="1E361CBA">
      <w:pPr>
        <w:pStyle w:val="16"/>
        <w:keepNext/>
        <w:keepLines/>
        <w:pageBreakBefore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b/>
          <w:color w:val="auto"/>
          <w:spacing w:val="0"/>
          <w:sz w:val="21"/>
          <w:szCs w:val="21"/>
          <w:highlight w:val="none"/>
        </w:rPr>
        <w:t>3.1 初步评审</w:t>
      </w:r>
    </w:p>
    <w:p w14:paraId="0E7F8954">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评标委员会按评标办法第2.1项规定的标准对</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进行初步评审。有一项不符合评审标准的，应当予以否决。</w:t>
      </w:r>
    </w:p>
    <w:p w14:paraId="6260D592">
      <w:pPr>
        <w:pStyle w:val="16"/>
        <w:keepNext/>
        <w:keepLines/>
        <w:pageBreakBefore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b/>
          <w:color w:val="auto"/>
          <w:spacing w:val="0"/>
          <w:sz w:val="21"/>
          <w:szCs w:val="21"/>
          <w:highlight w:val="none"/>
        </w:rPr>
        <w:t xml:space="preserve"> 3.2 详细评审</w:t>
      </w:r>
    </w:p>
    <w:p w14:paraId="0DDA354E">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评标委员会对通过初步评审合格的</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进行详细评审，按评标办法2.2 项规定的评审因素和标准进行评审计分，并计算出</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评标总得分。</w:t>
      </w:r>
    </w:p>
    <w:p w14:paraId="4BC6CF9C">
      <w:pPr>
        <w:pStyle w:val="16"/>
        <w:keepNext/>
        <w:keepLines/>
        <w:pageBreakBefore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b/>
          <w:color w:val="auto"/>
          <w:spacing w:val="0"/>
          <w:sz w:val="21"/>
          <w:szCs w:val="21"/>
          <w:highlight w:val="none"/>
        </w:rPr>
        <w:t xml:space="preserve">3.3 </w:t>
      </w:r>
      <w:r>
        <w:rPr>
          <w:rFonts w:hint="eastAsia" w:ascii="宋体" w:hAnsi="宋体" w:eastAsia="宋体" w:cs="宋体"/>
          <w:b/>
          <w:color w:val="auto"/>
          <w:spacing w:val="0"/>
          <w:sz w:val="21"/>
          <w:szCs w:val="21"/>
          <w:highlight w:val="none"/>
          <w:lang w:eastAsia="zh-CN"/>
        </w:rPr>
        <w:t>投标文件</w:t>
      </w:r>
      <w:r>
        <w:rPr>
          <w:rFonts w:hint="eastAsia" w:ascii="宋体" w:hAnsi="宋体" w:eastAsia="宋体" w:cs="宋体"/>
          <w:b/>
          <w:color w:val="auto"/>
          <w:spacing w:val="0"/>
          <w:sz w:val="21"/>
          <w:szCs w:val="21"/>
          <w:highlight w:val="none"/>
        </w:rPr>
        <w:t>的澄清和补正</w:t>
      </w:r>
    </w:p>
    <w:p w14:paraId="7532DF4D">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3.3.1在评标过程中，评标委员会可以书面形式要求</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对所提交的</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中不明确的内容进行书面澄清或说明，或者对细微偏差进行补正。评标委员会不接受</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主动提出的澄清、说明或补正。</w:t>
      </w:r>
    </w:p>
    <w:p w14:paraId="712F7649">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3.3.2 澄清、说明和补正不得改变</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的实质性内容（算术性错误修正的除外）。</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的书面澄清、说明和补正属于</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的组成部分。</w:t>
      </w:r>
    </w:p>
    <w:p w14:paraId="4B190936">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3.3.3 评标委员会对</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提交的澄清、说明或补正有疑问的，可以要求</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进一步澄清、说明或补正，直至满足评标委员会的要求。</w:t>
      </w:r>
    </w:p>
    <w:p w14:paraId="18C57C5F">
      <w:pPr>
        <w:pStyle w:val="16"/>
        <w:keepNext/>
        <w:keepLines/>
        <w:pageBreakBefore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b/>
          <w:color w:val="auto"/>
          <w:spacing w:val="0"/>
          <w:sz w:val="21"/>
          <w:szCs w:val="21"/>
          <w:highlight w:val="none"/>
        </w:rPr>
        <w:t>3.4 算术错误修正</w:t>
      </w:r>
    </w:p>
    <w:p w14:paraId="5887C917">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评标委员会检查</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投标报价是否有算术错误，算术性错误分析和修正按以下原则进行，修正的价格经</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书面确认后具有约束力。</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不接受修正价格的，应当否决其投标。</w:t>
      </w:r>
    </w:p>
    <w:p w14:paraId="6B330B2E">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中的大写金额与小写金额不一致的，以大写金额为准；</w:t>
      </w:r>
    </w:p>
    <w:p w14:paraId="3D91196D">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（2）总价金额与依据单价计算出的结果不一致的，以单价金额为准修正总价，但单价金额小数点有明显错误的除外。</w:t>
      </w:r>
    </w:p>
    <w:p w14:paraId="695CA1C2">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评标委员会根据算术错误修正结果计算评标价。评标委员会对算术错误的修正应向</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作书面澄清。</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对修正结果应书面确认。</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对修正结果有不同意见或未作书面确认的，评标委员会应重新复核修正结果，再次按上述程序分别进行确认、复核。</w:t>
      </w:r>
    </w:p>
    <w:p w14:paraId="1243EDA5">
      <w:pPr>
        <w:pStyle w:val="16"/>
        <w:keepNext/>
        <w:keepLines/>
        <w:pageBreakBefore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b/>
          <w:color w:val="auto"/>
          <w:spacing w:val="0"/>
          <w:sz w:val="21"/>
          <w:szCs w:val="21"/>
          <w:highlight w:val="none"/>
        </w:rPr>
        <w:t>4 比选终止</w:t>
      </w:r>
    </w:p>
    <w:p w14:paraId="02025D64">
      <w:pPr>
        <w:pageBreakBefore w:val="0"/>
        <w:widowControl/>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rPr>
        <w:t>4.1</w:t>
      </w:r>
      <w:r>
        <w:rPr>
          <w:rFonts w:hint="eastAsia" w:ascii="宋体" w:hAnsi="宋体" w:eastAsia="宋体" w:cs="宋体"/>
          <w:color w:val="auto"/>
          <w:kern w:val="0"/>
          <w:sz w:val="21"/>
          <w:szCs w:val="21"/>
          <w:highlight w:val="none"/>
        </w:rPr>
        <w:t>出现下列情形之一的，</w:t>
      </w:r>
      <w:r>
        <w:rPr>
          <w:rFonts w:hint="eastAsia" w:ascii="宋体" w:hAnsi="宋体" w:eastAsia="宋体" w:cs="宋体"/>
          <w:color w:val="auto"/>
          <w:kern w:val="0"/>
          <w:sz w:val="21"/>
          <w:szCs w:val="21"/>
          <w:highlight w:val="none"/>
          <w:lang w:eastAsia="zh-CN"/>
        </w:rPr>
        <w:t>招募人</w:t>
      </w:r>
      <w:r>
        <w:rPr>
          <w:rFonts w:hint="eastAsia" w:ascii="宋体" w:hAnsi="宋体" w:eastAsia="宋体" w:cs="宋体"/>
          <w:color w:val="auto"/>
          <w:kern w:val="0"/>
          <w:sz w:val="21"/>
          <w:szCs w:val="21"/>
          <w:highlight w:val="none"/>
        </w:rPr>
        <w:t>应当终止</w:t>
      </w:r>
      <w:r>
        <w:rPr>
          <w:rFonts w:hint="eastAsia" w:ascii="宋体" w:hAnsi="宋体" w:eastAsia="宋体" w:cs="宋体"/>
          <w:color w:val="auto"/>
          <w:sz w:val="21"/>
          <w:szCs w:val="21"/>
          <w:highlight w:val="none"/>
          <w:lang w:eastAsia="zh-CN"/>
        </w:rPr>
        <w:t>比选招募</w:t>
      </w:r>
      <w:r>
        <w:rPr>
          <w:rFonts w:hint="eastAsia" w:ascii="宋体" w:hAnsi="宋体" w:eastAsia="宋体" w:cs="宋体"/>
          <w:color w:val="auto"/>
          <w:kern w:val="0"/>
          <w:sz w:val="21"/>
          <w:szCs w:val="21"/>
          <w:highlight w:val="none"/>
        </w:rPr>
        <w:t xml:space="preserve">活动，重新开展采购活动： </w:t>
      </w:r>
    </w:p>
    <w:p w14:paraId="34F86D9C">
      <w:pPr>
        <w:pageBreakBefore w:val="0"/>
        <w:widowControl/>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（1）因情况变化，不再符合规定的</w:t>
      </w:r>
      <w:r>
        <w:rPr>
          <w:rFonts w:hint="eastAsia" w:ascii="宋体" w:hAnsi="宋体" w:eastAsia="宋体" w:cs="宋体"/>
          <w:color w:val="auto"/>
          <w:sz w:val="21"/>
          <w:szCs w:val="21"/>
          <w:highlight w:val="none"/>
          <w:lang w:eastAsia="zh-CN"/>
        </w:rPr>
        <w:t>比选招募</w:t>
      </w:r>
      <w:r>
        <w:rPr>
          <w:rFonts w:hint="eastAsia" w:ascii="宋体" w:hAnsi="宋体" w:eastAsia="宋体" w:cs="宋体"/>
          <w:color w:val="auto"/>
          <w:kern w:val="0"/>
          <w:sz w:val="21"/>
          <w:szCs w:val="21"/>
          <w:highlight w:val="none"/>
        </w:rPr>
        <w:t>方式适用情形的；</w:t>
      </w:r>
    </w:p>
    <w:p w14:paraId="00A21D79">
      <w:pPr>
        <w:pageBreakBefore w:val="0"/>
        <w:widowControl/>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（2）出现影响采购公正的违法、违规行为的；</w:t>
      </w:r>
    </w:p>
    <w:p w14:paraId="3AC83FCF">
      <w:pPr>
        <w:pageBreakBefore w:val="0"/>
        <w:widowControl/>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bCs/>
          <w:color w:val="auto"/>
          <w:sz w:val="21"/>
          <w:szCs w:val="21"/>
          <w:highlight w:val="none"/>
        </w:rPr>
        <w:t>因重大变故，采购任务取消的。</w:t>
      </w:r>
    </w:p>
    <w:p w14:paraId="183F85D1">
      <w:pPr>
        <w:pStyle w:val="16"/>
        <w:keepNext/>
        <w:keepLines/>
        <w:pageBreakBefore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b/>
          <w:color w:val="auto"/>
          <w:spacing w:val="0"/>
          <w:sz w:val="21"/>
          <w:szCs w:val="21"/>
          <w:highlight w:val="none"/>
        </w:rPr>
        <w:t>5 重新评审</w:t>
      </w:r>
    </w:p>
    <w:p w14:paraId="24E76C6A">
      <w:pPr>
        <w:pageBreakBefore w:val="0"/>
        <w:widowControl/>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除资格性审查认定错误和价格计算错误外，</w:t>
      </w:r>
      <w:r>
        <w:rPr>
          <w:rFonts w:hint="eastAsia" w:ascii="宋体" w:hAnsi="宋体" w:eastAsia="宋体" w:cs="宋体"/>
          <w:color w:val="auto"/>
          <w:kern w:val="0"/>
          <w:sz w:val="21"/>
          <w:szCs w:val="21"/>
          <w:highlight w:val="none"/>
          <w:lang w:eastAsia="zh-CN"/>
        </w:rPr>
        <w:t>招募人</w:t>
      </w:r>
      <w:r>
        <w:rPr>
          <w:rFonts w:hint="eastAsia" w:ascii="宋体" w:hAnsi="宋体" w:eastAsia="宋体" w:cs="宋体"/>
          <w:color w:val="auto"/>
          <w:kern w:val="0"/>
          <w:sz w:val="21"/>
          <w:szCs w:val="21"/>
          <w:highlight w:val="none"/>
        </w:rPr>
        <w:t>不以任何理由组织重新评审。</w:t>
      </w:r>
      <w:r>
        <w:rPr>
          <w:rFonts w:hint="eastAsia" w:ascii="宋体" w:hAnsi="宋体" w:eastAsia="宋体" w:cs="宋体"/>
          <w:color w:val="auto"/>
          <w:kern w:val="0"/>
          <w:sz w:val="21"/>
          <w:szCs w:val="21"/>
          <w:highlight w:val="none"/>
          <w:lang w:eastAsia="zh-CN"/>
        </w:rPr>
        <w:t>招募人</w:t>
      </w:r>
      <w:r>
        <w:rPr>
          <w:rFonts w:hint="eastAsia" w:ascii="宋体" w:hAnsi="宋体" w:eastAsia="宋体" w:cs="宋体"/>
          <w:color w:val="auto"/>
          <w:kern w:val="0"/>
          <w:sz w:val="21"/>
          <w:szCs w:val="21"/>
          <w:highlight w:val="none"/>
        </w:rPr>
        <w:t>发现</w:t>
      </w:r>
      <w:r>
        <w:rPr>
          <w:rFonts w:hint="eastAsia" w:ascii="宋体" w:hAnsi="宋体" w:eastAsia="宋体" w:cs="宋体"/>
          <w:color w:val="auto"/>
          <w:sz w:val="21"/>
          <w:szCs w:val="21"/>
          <w:highlight w:val="none"/>
        </w:rPr>
        <w:t>评标委员会</w:t>
      </w:r>
      <w:r>
        <w:rPr>
          <w:rFonts w:hint="eastAsia" w:ascii="宋体" w:hAnsi="宋体" w:eastAsia="宋体" w:cs="宋体"/>
          <w:color w:val="auto"/>
          <w:kern w:val="0"/>
          <w:sz w:val="21"/>
          <w:szCs w:val="21"/>
          <w:highlight w:val="none"/>
        </w:rPr>
        <w:t>未按照采购文件规定的评定成交的标准进行评审的，应当重新开展采购活动。</w:t>
      </w:r>
    </w:p>
    <w:p w14:paraId="65F8C911">
      <w:pPr>
        <w:pStyle w:val="16"/>
        <w:keepNext/>
        <w:keepLines/>
        <w:pageBreakBefore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b/>
          <w:color w:val="auto"/>
          <w:spacing w:val="0"/>
          <w:sz w:val="21"/>
          <w:szCs w:val="21"/>
          <w:highlight w:val="none"/>
        </w:rPr>
        <w:t>6 废标条件</w:t>
      </w:r>
    </w:p>
    <w:p w14:paraId="71FB363F">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有下列情形之一的，经评标委员会评审后按废标处理或被否决：</w:t>
      </w:r>
    </w:p>
    <w:p w14:paraId="14815AA8">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未按比选文件规定签字盖章的；</w:t>
      </w:r>
    </w:p>
    <w:p w14:paraId="45D443A2">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未按规定的格式编制的，内容不全或关键字迹模糊、无法辨认的；</w:t>
      </w:r>
    </w:p>
    <w:p w14:paraId="651561FD">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资格条件不符合国家有关规定，不符合比选文件要求的；</w:t>
      </w:r>
    </w:p>
    <w:p w14:paraId="283BB320">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递交两份或多份内容不同的</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的；在一份</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中对</w:t>
      </w:r>
      <w:r>
        <w:rPr>
          <w:rFonts w:hint="eastAsia" w:ascii="宋体" w:hAnsi="宋体" w:eastAsia="宋体" w:cs="宋体"/>
          <w:color w:val="auto"/>
          <w:sz w:val="21"/>
          <w:szCs w:val="21"/>
          <w:highlight w:val="none"/>
          <w:lang w:eastAsia="zh-CN"/>
        </w:rPr>
        <w:t>招募</w:t>
      </w:r>
      <w:r>
        <w:rPr>
          <w:rFonts w:hint="eastAsia" w:ascii="宋体" w:hAnsi="宋体" w:eastAsia="宋体" w:cs="宋体"/>
          <w:color w:val="auto"/>
          <w:sz w:val="21"/>
          <w:szCs w:val="21"/>
          <w:highlight w:val="none"/>
        </w:rPr>
        <w:t>项目有两个或多个投标报价，且未在</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中声明哪一个有效的；</w:t>
      </w:r>
    </w:p>
    <w:p w14:paraId="4B0105CB">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（5）投标报价超出</w:t>
      </w:r>
      <w:r>
        <w:rPr>
          <w:rFonts w:hint="eastAsia" w:ascii="宋体" w:hAnsi="宋体" w:eastAsia="宋体" w:cs="宋体"/>
          <w:color w:val="auto"/>
          <w:sz w:val="21"/>
          <w:szCs w:val="21"/>
          <w:highlight w:val="none"/>
          <w:lang w:eastAsia="zh-CN"/>
        </w:rPr>
        <w:t>招募人</w:t>
      </w:r>
      <w:r>
        <w:rPr>
          <w:rFonts w:hint="eastAsia" w:ascii="宋体" w:hAnsi="宋体" w:eastAsia="宋体" w:cs="宋体"/>
          <w:color w:val="auto"/>
          <w:sz w:val="21"/>
          <w:szCs w:val="21"/>
          <w:highlight w:val="none"/>
        </w:rPr>
        <w:t>公布的控制价；</w:t>
      </w:r>
    </w:p>
    <w:p w14:paraId="1CE715B3">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载明的投标范围小于比选文件规定的</w:t>
      </w:r>
      <w:r>
        <w:rPr>
          <w:rFonts w:hint="eastAsia" w:ascii="宋体" w:hAnsi="宋体" w:eastAsia="宋体" w:cs="宋体"/>
          <w:color w:val="auto"/>
          <w:sz w:val="21"/>
          <w:szCs w:val="21"/>
          <w:highlight w:val="none"/>
          <w:lang w:eastAsia="zh-CN"/>
        </w:rPr>
        <w:t>招募</w:t>
      </w:r>
      <w:r>
        <w:rPr>
          <w:rFonts w:hint="eastAsia" w:ascii="宋体" w:hAnsi="宋体" w:eastAsia="宋体" w:cs="宋体"/>
          <w:color w:val="auto"/>
          <w:sz w:val="21"/>
          <w:szCs w:val="21"/>
          <w:highlight w:val="none"/>
        </w:rPr>
        <w:t>范围的；</w:t>
      </w:r>
    </w:p>
    <w:p w14:paraId="5DC113A7">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（7）未按比选文件要求提交投标保证金的</w:t>
      </w:r>
      <w:r>
        <w:rPr>
          <w:rFonts w:hint="eastAsia" w:ascii="宋体" w:hAnsi="宋体" w:eastAsia="宋体" w:cs="宋体"/>
          <w:color w:val="auto"/>
          <w:sz w:val="21"/>
          <w:szCs w:val="21"/>
          <w:highlight w:val="none"/>
          <w:lang w:eastAsia="zh-CN"/>
        </w:rPr>
        <w:t>；</w:t>
      </w:r>
    </w:p>
    <w:p w14:paraId="29E4B760">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（8）其他未能实质响应比选文件提出的实质性要求和条件的；</w:t>
      </w:r>
    </w:p>
    <w:p w14:paraId="63F704D7">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（9）评标委员会发现</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以他人的名义投标的；串通投标的；以行贿手段谋取中标或者不如实提供有关情况、文件、证明等资料及以其他弄虚作假方式投标的；</w:t>
      </w:r>
    </w:p>
    <w:p w14:paraId="656A1CC5">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（10）在投标过程中有商业贿赂行为的；</w:t>
      </w:r>
    </w:p>
    <w:p w14:paraId="56EE52A4">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与比选文件条款有重大偏离或保留的，法律法规文件规定的其他情形；</w:t>
      </w:r>
    </w:p>
    <w:p w14:paraId="632A60EB">
      <w:pPr>
        <w:pStyle w:val="16"/>
        <w:pageBreakBefore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kern w:val="2"/>
          <w:sz w:val="21"/>
          <w:szCs w:val="21"/>
          <w:highlight w:val="none"/>
        </w:rPr>
        <w:t>6.2有下列情形之一的，可认定为围标串标行为的依据： </w:t>
      </w:r>
    </w:p>
    <w:p w14:paraId="25D20762">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内容存在非正常一致的；</w:t>
      </w:r>
    </w:p>
    <w:p w14:paraId="43F4D273">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有两处及以上错漏之处一致的； </w:t>
      </w:r>
    </w:p>
    <w:p w14:paraId="6CD0CC8E">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的投标报价或者报价组成两处及以上出现异常一致的或呈规律性变化的；</w:t>
      </w:r>
    </w:p>
    <w:p w14:paraId="40EE9234">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（4）不同</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由同一单位或者同一个人编制的；</w:t>
      </w:r>
    </w:p>
    <w:p w14:paraId="42A4FE2B">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载明的项目管理班子成员出现同一人的；</w:t>
      </w:r>
    </w:p>
    <w:p w14:paraId="686C2DEF">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（6）不同</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相互混装的；</w:t>
      </w:r>
    </w:p>
    <w:p w14:paraId="49C5882B">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（7）不同</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委托同一人投标的；</w:t>
      </w:r>
    </w:p>
    <w:p w14:paraId="0F718CBA">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（8）不同</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使用同一个人或者同一企业的资金交纳投标保证金的； </w:t>
      </w:r>
    </w:p>
    <w:p w14:paraId="0539EC10">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（9）其他围标情形。</w:t>
      </w:r>
    </w:p>
    <w:p w14:paraId="6571529D">
      <w:pPr>
        <w:pStyle w:val="16"/>
        <w:pageBreakBefore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color w:val="auto"/>
          <w:spacing w:val="0"/>
          <w:kern w:val="1"/>
          <w:sz w:val="21"/>
          <w:szCs w:val="21"/>
          <w:highlight w:val="none"/>
        </w:rPr>
      </w:pPr>
      <w:r>
        <w:rPr>
          <w:rFonts w:hint="eastAsia" w:ascii="宋体" w:hAnsi="宋体" w:eastAsia="宋体" w:cs="宋体"/>
          <w:color w:val="auto"/>
          <w:spacing w:val="0"/>
          <w:kern w:val="2"/>
          <w:sz w:val="21"/>
          <w:szCs w:val="21"/>
          <w:highlight w:val="none"/>
        </w:rPr>
        <w:t>6.3</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在本项目整个比选过程中有隐瞒事实、弄虚作假的行为，或有不按比选文件的要求如实提供有关情况、文件、证明等资料的行为，或有所提供的有关情况、文件、证明等资料与经查实的事实不符的行为，且上述行为对该</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有利的，按照不合格</w:t>
      </w:r>
      <w:r>
        <w:rPr>
          <w:rFonts w:hint="eastAsia" w:ascii="宋体" w:hAnsi="宋体" w:eastAsia="宋体" w:cs="宋体"/>
          <w:color w:val="auto"/>
          <w:spacing w:val="0"/>
          <w:kern w:val="2"/>
          <w:sz w:val="21"/>
          <w:szCs w:val="21"/>
          <w:highlight w:val="none"/>
          <w:lang w:eastAsia="zh-CN"/>
        </w:rPr>
        <w:t>投标人</w:t>
      </w:r>
      <w:r>
        <w:rPr>
          <w:rFonts w:hint="eastAsia" w:ascii="宋体" w:hAnsi="宋体" w:eastAsia="宋体" w:cs="宋体"/>
          <w:color w:val="auto"/>
          <w:spacing w:val="0"/>
          <w:kern w:val="2"/>
          <w:sz w:val="21"/>
          <w:szCs w:val="21"/>
          <w:highlight w:val="none"/>
        </w:rPr>
        <w:t>处理。已被列为中标候选人的，取消其中标候选人资格。已中标的，依据有关法律法规规章的规定处理。</w:t>
      </w:r>
    </w:p>
    <w:p w14:paraId="427B6569">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1"/>
          <w:sz w:val="21"/>
          <w:szCs w:val="21"/>
          <w:highlight w:val="none"/>
        </w:rPr>
        <w:t>6.4 经查实</w:t>
      </w:r>
      <w:r>
        <w:rPr>
          <w:rFonts w:hint="eastAsia" w:ascii="宋体" w:hAnsi="宋体" w:eastAsia="宋体" w:cs="宋体"/>
          <w:color w:val="auto"/>
          <w:kern w:val="1"/>
          <w:sz w:val="21"/>
          <w:szCs w:val="21"/>
          <w:highlight w:val="none"/>
          <w:lang w:eastAsia="zh-CN"/>
        </w:rPr>
        <w:t>投标人</w:t>
      </w:r>
      <w:r>
        <w:rPr>
          <w:rFonts w:hint="eastAsia" w:ascii="宋体" w:hAnsi="宋体" w:eastAsia="宋体" w:cs="宋体"/>
          <w:color w:val="auto"/>
          <w:kern w:val="1"/>
          <w:sz w:val="21"/>
          <w:szCs w:val="21"/>
          <w:highlight w:val="none"/>
        </w:rPr>
        <w:t>存在以上情形的，列入</w:t>
      </w:r>
      <w:r>
        <w:rPr>
          <w:rFonts w:hint="eastAsia" w:ascii="宋体" w:hAnsi="宋体" w:eastAsia="宋体" w:cs="宋体"/>
          <w:color w:val="auto"/>
          <w:kern w:val="1"/>
          <w:sz w:val="21"/>
          <w:szCs w:val="21"/>
          <w:highlight w:val="none"/>
          <w:lang w:eastAsia="zh-CN"/>
        </w:rPr>
        <w:t>湖南天新资产经营管理有限公司</w:t>
      </w:r>
      <w:r>
        <w:rPr>
          <w:rFonts w:hint="eastAsia" w:ascii="宋体" w:hAnsi="宋体" w:eastAsia="宋体" w:cs="宋体"/>
          <w:color w:val="auto"/>
          <w:kern w:val="1"/>
          <w:sz w:val="21"/>
          <w:szCs w:val="21"/>
          <w:highlight w:val="none"/>
        </w:rPr>
        <w:t>黑名单，一定期限内禁止参与本</w:t>
      </w:r>
      <w:r>
        <w:rPr>
          <w:rFonts w:hint="eastAsia" w:ascii="宋体" w:hAnsi="宋体" w:eastAsia="宋体" w:cs="宋体"/>
          <w:color w:val="auto"/>
          <w:kern w:val="1"/>
          <w:sz w:val="21"/>
          <w:szCs w:val="21"/>
          <w:highlight w:val="none"/>
          <w:lang w:eastAsia="zh-CN"/>
        </w:rPr>
        <w:t>单位</w:t>
      </w:r>
      <w:r>
        <w:rPr>
          <w:rFonts w:hint="eastAsia" w:ascii="宋体" w:hAnsi="宋体" w:eastAsia="宋体" w:cs="宋体"/>
          <w:color w:val="auto"/>
          <w:kern w:val="1"/>
          <w:sz w:val="21"/>
          <w:szCs w:val="21"/>
          <w:highlight w:val="none"/>
        </w:rPr>
        <w:t>所有投标活动；如已递交保证金的，没收其保证金；情节严重的移交公安机关处理。</w:t>
      </w:r>
    </w:p>
    <w:p w14:paraId="50D63FF2">
      <w:pPr>
        <w:pStyle w:val="16"/>
        <w:keepNext/>
        <w:keepLines/>
        <w:pageBreakBefore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b/>
          <w:color w:val="auto"/>
          <w:spacing w:val="0"/>
          <w:sz w:val="21"/>
          <w:szCs w:val="21"/>
          <w:highlight w:val="none"/>
        </w:rPr>
        <w:t>7 评标结果</w:t>
      </w:r>
    </w:p>
    <w:p w14:paraId="2A3501E9">
      <w:pPr>
        <w:pageBreakBefore w:val="0"/>
        <w:kinsoku/>
        <w:overflowPunct/>
        <w:topLinePunct w:val="0"/>
        <w:autoSpaceDE/>
        <w:autoSpaceDN/>
        <w:bidi w:val="0"/>
        <w:adjustRightInd w:val="0"/>
        <w:snapToGrid w:val="0"/>
        <w:spacing w:line="312" w:lineRule="auto"/>
        <w:ind w:firstLine="420" w:firstLineChars="200"/>
        <w:jc w:val="left"/>
        <w:textAlignment w:val="auto"/>
        <w:rPr>
          <w:rFonts w:hint="eastAsia" w:ascii="宋体" w:hAnsi="宋体" w:eastAsia="宋体" w:cs="宋体"/>
          <w:bCs/>
          <w:color w:val="auto"/>
          <w:sz w:val="21"/>
          <w:szCs w:val="21"/>
          <w:highlight w:val="none"/>
          <w:u w:val="single"/>
        </w:rPr>
      </w:pPr>
      <w:r>
        <w:rPr>
          <w:rFonts w:hint="eastAsia" w:ascii="宋体" w:hAnsi="宋体" w:eastAsia="宋体" w:cs="宋体"/>
          <w:color w:val="auto"/>
          <w:sz w:val="21"/>
          <w:szCs w:val="21"/>
          <w:highlight w:val="none"/>
        </w:rPr>
        <w:t>7.1评标委员会按照按评标总得分由高到低的顺序推荐中标候选人。</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评标总得分相同时，依次按照其投标报价由低至高排序</w:t>
      </w:r>
      <w:r>
        <w:rPr>
          <w:rFonts w:hint="eastAsia" w:ascii="宋体" w:hAnsi="宋体" w:eastAsia="宋体" w:cs="宋体"/>
          <w:bCs/>
          <w:color w:val="auto"/>
          <w:sz w:val="21"/>
          <w:szCs w:val="21"/>
          <w:highlight w:val="none"/>
        </w:rPr>
        <w:t>、技术部分</w:t>
      </w:r>
      <w:r>
        <w:rPr>
          <w:rFonts w:hint="eastAsia" w:ascii="宋体" w:hAnsi="宋体" w:eastAsia="宋体" w:cs="宋体"/>
          <w:color w:val="auto"/>
          <w:sz w:val="21"/>
          <w:szCs w:val="21"/>
          <w:highlight w:val="none"/>
        </w:rPr>
        <w:t>由高至低</w:t>
      </w:r>
      <w:r>
        <w:rPr>
          <w:rFonts w:hint="eastAsia" w:ascii="宋体" w:hAnsi="宋体" w:eastAsia="宋体" w:cs="宋体"/>
          <w:bCs/>
          <w:color w:val="auto"/>
          <w:sz w:val="21"/>
          <w:szCs w:val="21"/>
          <w:highlight w:val="none"/>
        </w:rPr>
        <w:t>排序、</w:t>
      </w:r>
      <w:r>
        <w:rPr>
          <w:rFonts w:hint="eastAsia" w:ascii="宋体" w:hAnsi="宋体" w:eastAsia="宋体" w:cs="宋体"/>
          <w:color w:val="auto"/>
          <w:sz w:val="21"/>
          <w:szCs w:val="21"/>
          <w:highlight w:val="none"/>
        </w:rPr>
        <w:t>商务部分由高至低排序、抽签</w:t>
      </w:r>
      <w:r>
        <w:rPr>
          <w:rFonts w:hint="eastAsia" w:ascii="宋体" w:hAnsi="宋体" w:eastAsia="宋体" w:cs="宋体"/>
          <w:bCs/>
          <w:color w:val="auto"/>
          <w:sz w:val="21"/>
          <w:szCs w:val="21"/>
          <w:highlight w:val="none"/>
        </w:rPr>
        <w:t>顺序确定。</w:t>
      </w:r>
    </w:p>
    <w:p w14:paraId="4B08C42A">
      <w:pPr>
        <w:pStyle w:val="16"/>
        <w:keepNext/>
        <w:keepLines/>
        <w:pageBreakBefore w:val="0"/>
        <w:kinsoku/>
        <w:overflowPunct/>
        <w:topLinePunct w:val="0"/>
        <w:autoSpaceDE/>
        <w:autoSpaceDN/>
        <w:bidi w:val="0"/>
        <w:adjustRightInd w:val="0"/>
        <w:snapToGrid w:val="0"/>
        <w:spacing w:before="0" w:beforeAutospacing="0" w:after="0" w:afterAutospacing="0" w:line="312" w:lineRule="auto"/>
        <w:ind w:firstLine="420" w:firstLineChars="200"/>
        <w:jc w:val="left"/>
        <w:textAlignment w:val="auto"/>
        <w:rPr>
          <w:rFonts w:hint="eastAsia" w:ascii="宋体" w:hAnsi="宋体" w:eastAsia="宋体" w:cs="宋体"/>
          <w:bCs/>
          <w:color w:val="auto"/>
          <w:spacing w:val="0"/>
          <w:highlight w:val="none"/>
        </w:rPr>
      </w:pPr>
      <w:r>
        <w:rPr>
          <w:rFonts w:hint="eastAsia" w:ascii="宋体" w:hAnsi="宋体" w:eastAsia="宋体" w:cs="宋体"/>
          <w:bCs/>
          <w:color w:val="auto"/>
          <w:spacing w:val="0"/>
          <w:sz w:val="21"/>
          <w:szCs w:val="21"/>
          <w:highlight w:val="none"/>
        </w:rPr>
        <w:t>7.2 评标委员会完成评标后，向</w:t>
      </w:r>
      <w:r>
        <w:rPr>
          <w:rFonts w:hint="eastAsia" w:ascii="宋体" w:hAnsi="宋体" w:eastAsia="宋体" w:cs="宋体"/>
          <w:bCs/>
          <w:color w:val="auto"/>
          <w:spacing w:val="0"/>
          <w:sz w:val="21"/>
          <w:szCs w:val="21"/>
          <w:highlight w:val="none"/>
          <w:lang w:eastAsia="zh-CN"/>
        </w:rPr>
        <w:t>招募人</w:t>
      </w:r>
      <w:r>
        <w:rPr>
          <w:rFonts w:hint="eastAsia" w:ascii="宋体" w:hAnsi="宋体" w:eastAsia="宋体" w:cs="宋体"/>
          <w:bCs/>
          <w:color w:val="auto"/>
          <w:spacing w:val="0"/>
          <w:sz w:val="21"/>
          <w:szCs w:val="21"/>
          <w:highlight w:val="none"/>
        </w:rPr>
        <w:t>提交书面评标报告。</w:t>
      </w:r>
    </w:p>
    <w:p w14:paraId="2BD4F48E">
      <w:pPr>
        <w:pStyle w:val="16"/>
        <w:kinsoku w:val="0"/>
        <w:overflowPunct w:val="0"/>
        <w:autoSpaceDE w:val="0"/>
        <w:autoSpaceDN w:val="0"/>
        <w:adjustRightInd w:val="0"/>
        <w:snapToGrid w:val="0"/>
        <w:spacing w:before="0" w:beforeAutospacing="0" w:after="0" w:afterAutospacing="0" w:line="458" w:lineRule="exact"/>
        <w:rPr>
          <w:rFonts w:hint="eastAsia" w:ascii="宋体" w:hAnsi="宋体" w:eastAsia="宋体" w:cs="宋体"/>
          <w:b/>
          <w:color w:val="auto"/>
          <w:sz w:val="32"/>
          <w:szCs w:val="32"/>
          <w:highlight w:val="none"/>
        </w:rPr>
      </w:pPr>
      <w:r>
        <w:rPr>
          <w:rFonts w:hint="eastAsia" w:ascii="宋体" w:hAnsi="宋体" w:eastAsia="宋体" w:cs="宋体"/>
          <w:color w:val="auto"/>
          <w:szCs w:val="21"/>
          <w:highlight w:val="none"/>
        </w:rPr>
        <w:br w:type="page"/>
      </w:r>
      <w:r>
        <w:rPr>
          <w:rFonts w:hint="eastAsia" w:ascii="宋体" w:hAnsi="宋体" w:eastAsia="宋体" w:cs="宋体"/>
          <w:b/>
          <w:color w:val="auto"/>
          <w:spacing w:val="0"/>
          <w:kern w:val="2"/>
          <w:sz w:val="32"/>
          <w:szCs w:val="32"/>
          <w:highlight w:val="none"/>
          <w:lang w:val="en-US" w:eastAsia="zh-CN"/>
        </w:rPr>
        <w:t>附表1 资格评审表</w:t>
      </w:r>
    </w:p>
    <w:p w14:paraId="448457EA">
      <w:pPr>
        <w:pStyle w:val="16"/>
        <w:spacing w:before="0" w:beforeAutospacing="0" w:after="0" w:afterAutospacing="0"/>
        <w:ind w:firstLine="480" w:firstLineChars="200"/>
        <w:jc w:val="both"/>
        <w:rPr>
          <w:rFonts w:hint="eastAsia" w:ascii="宋体" w:hAnsi="宋体" w:eastAsia="宋体" w:cs="宋体"/>
          <w:color w:val="auto"/>
          <w:spacing w:val="0"/>
          <w:highlight w:val="none"/>
        </w:rPr>
      </w:pPr>
    </w:p>
    <w:tbl>
      <w:tblPr>
        <w:tblStyle w:val="19"/>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6371"/>
        <w:gridCol w:w="1860"/>
      </w:tblGrid>
      <w:tr w14:paraId="7550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9" w:type="dxa"/>
            <w:vAlign w:val="center"/>
          </w:tcPr>
          <w:p w14:paraId="1ED90690">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序号</w:t>
            </w:r>
          </w:p>
        </w:tc>
        <w:tc>
          <w:tcPr>
            <w:tcW w:w="6366" w:type="dxa"/>
            <w:vAlign w:val="center"/>
          </w:tcPr>
          <w:p w14:paraId="49715D2C">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评审因素及标准</w:t>
            </w:r>
          </w:p>
        </w:tc>
        <w:tc>
          <w:tcPr>
            <w:tcW w:w="1859" w:type="dxa"/>
            <w:vAlign w:val="center"/>
          </w:tcPr>
          <w:p w14:paraId="6274B47B">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合格/不合格</w:t>
            </w:r>
          </w:p>
        </w:tc>
      </w:tr>
      <w:tr w14:paraId="5DA3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9" w:type="dxa"/>
            <w:vAlign w:val="center"/>
          </w:tcPr>
          <w:p w14:paraId="7964758B">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1</w:t>
            </w:r>
          </w:p>
        </w:tc>
        <w:tc>
          <w:tcPr>
            <w:tcW w:w="6366" w:type="dxa"/>
            <w:vAlign w:val="center"/>
          </w:tcPr>
          <w:p w14:paraId="7DE1B78B">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left"/>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法人提交企业法人营业执照副本(或者法人登记证书)以及组织机构代码证副本复印件。</w:t>
            </w:r>
          </w:p>
        </w:tc>
        <w:tc>
          <w:tcPr>
            <w:tcW w:w="1859" w:type="dxa"/>
            <w:vAlign w:val="center"/>
          </w:tcPr>
          <w:p w14:paraId="1C85E5FF">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p>
        </w:tc>
      </w:tr>
      <w:tr w14:paraId="1621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9" w:type="dxa"/>
            <w:vAlign w:val="center"/>
          </w:tcPr>
          <w:p w14:paraId="2E729315">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2</w:t>
            </w:r>
          </w:p>
        </w:tc>
        <w:tc>
          <w:tcPr>
            <w:tcW w:w="6366" w:type="dxa"/>
            <w:vAlign w:val="center"/>
          </w:tcPr>
          <w:p w14:paraId="4BDCD0DF">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left"/>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法人提交法定代表人身份证明原件或者法定代表人授权委托书原件（附法定代表人身份证明原件），自然人提交身份证复印件。</w:t>
            </w:r>
          </w:p>
        </w:tc>
        <w:tc>
          <w:tcPr>
            <w:tcW w:w="1859" w:type="dxa"/>
            <w:vAlign w:val="center"/>
          </w:tcPr>
          <w:p w14:paraId="214931D3">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p>
        </w:tc>
      </w:tr>
      <w:tr w14:paraId="61F7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9" w:type="dxa"/>
            <w:vAlign w:val="center"/>
          </w:tcPr>
          <w:p w14:paraId="66373458">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3</w:t>
            </w:r>
          </w:p>
        </w:tc>
        <w:tc>
          <w:tcPr>
            <w:tcW w:w="6366" w:type="dxa"/>
            <w:vAlign w:val="center"/>
          </w:tcPr>
          <w:p w14:paraId="0B6284FE">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left"/>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本项目参照长沙市财政局文件《关于政府采购促进中小企业发展若干措施的通知》（长财采购[2022]10号）规定，投标人可凭《湖南省政府采购供应商资格承诺函》（格式见投标文件组成）参与本项目的比选活动，无需再提供财务状况报告、依法缴纳税收和社会保障资金的相关材料、参加政府采购活动前3年在经营活动中没有重大违法记录的书面声明。</w:t>
            </w:r>
          </w:p>
        </w:tc>
        <w:tc>
          <w:tcPr>
            <w:tcW w:w="1859" w:type="dxa"/>
            <w:vAlign w:val="center"/>
          </w:tcPr>
          <w:p w14:paraId="4956877E">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p>
        </w:tc>
      </w:tr>
      <w:tr w14:paraId="671C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9" w:type="dxa"/>
            <w:vAlign w:val="center"/>
          </w:tcPr>
          <w:p w14:paraId="48C57602">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4</w:t>
            </w:r>
          </w:p>
        </w:tc>
        <w:tc>
          <w:tcPr>
            <w:tcW w:w="6366" w:type="dxa"/>
            <w:vAlign w:val="center"/>
          </w:tcPr>
          <w:p w14:paraId="2A87B26C">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color w:val="auto"/>
                <w:kern w:val="2"/>
                <w:sz w:val="21"/>
                <w:szCs w:val="24"/>
                <w:highlight w:val="none"/>
                <w:vertAlign w:val="baseline"/>
                <w:lang w:val="en-US" w:eastAsia="zh-CN" w:bidi="ar-SA"/>
              </w:rPr>
            </w:pPr>
            <w:r>
              <w:rPr>
                <w:rFonts w:hint="eastAsia" w:ascii="宋体" w:hAnsi="宋体" w:eastAsia="宋体" w:cs="宋体"/>
                <w:color w:val="auto"/>
                <w:kern w:val="2"/>
                <w:sz w:val="21"/>
                <w:szCs w:val="24"/>
                <w:highlight w:val="none"/>
                <w:vertAlign w:val="baseline"/>
                <w:lang w:val="en-US" w:eastAsia="zh-CN" w:bidi="ar-SA"/>
              </w:rPr>
              <w:t>其他说明（非法人组织参与投标需提供的相关证明材料）。</w:t>
            </w:r>
          </w:p>
        </w:tc>
        <w:tc>
          <w:tcPr>
            <w:tcW w:w="1859" w:type="dxa"/>
            <w:vAlign w:val="center"/>
          </w:tcPr>
          <w:p w14:paraId="210BAC98">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p>
        </w:tc>
      </w:tr>
      <w:tr w14:paraId="3033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9" w:type="dxa"/>
            <w:vAlign w:val="center"/>
          </w:tcPr>
          <w:p w14:paraId="376F1D00">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5</w:t>
            </w:r>
          </w:p>
        </w:tc>
        <w:tc>
          <w:tcPr>
            <w:tcW w:w="6366" w:type="dxa"/>
            <w:vAlign w:val="center"/>
          </w:tcPr>
          <w:p w14:paraId="04C95FEF">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left"/>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比选文件规定的特定资格条件证明文件</w:t>
            </w:r>
          </w:p>
        </w:tc>
        <w:tc>
          <w:tcPr>
            <w:tcW w:w="1859" w:type="dxa"/>
            <w:vAlign w:val="center"/>
          </w:tcPr>
          <w:p w14:paraId="2990D3A5">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p>
        </w:tc>
      </w:tr>
      <w:tr w14:paraId="229F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9" w:type="dxa"/>
            <w:vAlign w:val="center"/>
          </w:tcPr>
          <w:p w14:paraId="7B3B583D">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6</w:t>
            </w:r>
          </w:p>
        </w:tc>
        <w:tc>
          <w:tcPr>
            <w:tcW w:w="6366" w:type="dxa"/>
            <w:vAlign w:val="center"/>
          </w:tcPr>
          <w:p w14:paraId="52CA622D">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left"/>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信用查询情况</w:t>
            </w:r>
          </w:p>
        </w:tc>
        <w:tc>
          <w:tcPr>
            <w:tcW w:w="1859" w:type="dxa"/>
            <w:vAlign w:val="center"/>
          </w:tcPr>
          <w:p w14:paraId="5BBAD42D">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p>
        </w:tc>
      </w:tr>
      <w:tr w14:paraId="6923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39" w:type="dxa"/>
            <w:vAlign w:val="center"/>
          </w:tcPr>
          <w:p w14:paraId="7769D0EF">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7</w:t>
            </w:r>
          </w:p>
        </w:tc>
        <w:tc>
          <w:tcPr>
            <w:tcW w:w="6366" w:type="dxa"/>
            <w:vAlign w:val="center"/>
          </w:tcPr>
          <w:p w14:paraId="7EC7A728">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left"/>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比选文件规定的其他情况</w:t>
            </w:r>
          </w:p>
        </w:tc>
        <w:tc>
          <w:tcPr>
            <w:tcW w:w="1859" w:type="dxa"/>
            <w:vAlign w:val="center"/>
          </w:tcPr>
          <w:p w14:paraId="0A82E682">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p>
        </w:tc>
      </w:tr>
      <w:tr w14:paraId="5970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64" w:type="dxa"/>
            <w:gridSpan w:val="3"/>
            <w:vAlign w:val="center"/>
          </w:tcPr>
          <w:p w14:paraId="4A3AC49E">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left"/>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说明：①供应商具有实行了“三证合一”登记制度改革的新证，视同为持有工商营业执照、组织机构代码证和税务登记证，实行了“五证合一”登记制度改革的新证，视同为持有工商营业执照、组织机构代码证、税务登记证、社保登记证和统计登记证；符合基本资格条件的相关条款。（实行了“三证合一”或者“五证合一”的，请自行说明。）</w:t>
            </w:r>
          </w:p>
          <w:p w14:paraId="750D878B">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left"/>
              <w:textAlignment w:val="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②被“信用中国”网站列入严重失信名单的、被“中国政府采购网”网站列入政府采购严重违法失信行为记录名单（处罚期限尚未届满的），不得参与本项目的比选活动。</w:t>
            </w:r>
          </w:p>
          <w:p w14:paraId="7F4369BE">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left"/>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③单位负责人为同一人或者存在直接控股、管理关系的不同投标人，不得参加同一合同项下的比选活动。</w:t>
            </w:r>
          </w:p>
        </w:tc>
      </w:tr>
    </w:tbl>
    <w:p w14:paraId="081E7B15">
      <w:pPr>
        <w:pStyle w:val="16"/>
        <w:keepNext w:val="0"/>
        <w:keepLines w:val="0"/>
        <w:pageBreakBefore w:val="0"/>
        <w:widowControl w:val="0"/>
        <w:kinsoku w:val="0"/>
        <w:wordWrap w:val="0"/>
        <w:overflowPunct w:val="0"/>
        <w:topLinePunct w:val="0"/>
        <w:autoSpaceDE w:val="0"/>
        <w:autoSpaceDN w:val="0"/>
        <w:bidi w:val="0"/>
        <w:adjustRightInd w:val="0"/>
        <w:snapToGrid w:val="0"/>
        <w:spacing w:before="0" w:beforeAutospacing="0" w:after="0" w:afterAutospacing="0" w:line="312" w:lineRule="auto"/>
        <w:ind w:left="482"/>
        <w:textAlignment w:val="auto"/>
        <w:rPr>
          <w:rFonts w:hint="eastAsia" w:ascii="宋体" w:hAnsi="宋体" w:eastAsia="宋体" w:cs="宋体"/>
          <w:bCs/>
          <w:color w:val="auto"/>
          <w:spacing w:val="0"/>
          <w:sz w:val="21"/>
          <w:szCs w:val="21"/>
          <w:highlight w:val="none"/>
        </w:rPr>
      </w:pPr>
      <w:r>
        <w:rPr>
          <w:rFonts w:hint="eastAsia" w:ascii="宋体" w:hAnsi="宋体" w:eastAsia="宋体" w:cs="宋体"/>
          <w:bCs/>
          <w:color w:val="auto"/>
          <w:spacing w:val="0"/>
          <w:sz w:val="21"/>
          <w:szCs w:val="21"/>
          <w:highlight w:val="none"/>
        </w:rPr>
        <w:t>备注：1、符合打“√”，不符合打“×”。</w:t>
      </w:r>
    </w:p>
    <w:p w14:paraId="63A621C4">
      <w:pPr>
        <w:pStyle w:val="16"/>
        <w:keepNext w:val="0"/>
        <w:keepLines w:val="0"/>
        <w:pageBreakBefore w:val="0"/>
        <w:widowControl w:val="0"/>
        <w:kinsoku w:val="0"/>
        <w:wordWrap w:val="0"/>
        <w:overflowPunct w:val="0"/>
        <w:topLinePunct w:val="0"/>
        <w:autoSpaceDE w:val="0"/>
        <w:autoSpaceDN w:val="0"/>
        <w:bidi w:val="0"/>
        <w:adjustRightInd w:val="0"/>
        <w:snapToGrid w:val="0"/>
        <w:spacing w:before="0" w:beforeAutospacing="0" w:after="0" w:afterAutospacing="0" w:line="312" w:lineRule="auto"/>
        <w:ind w:left="482"/>
        <w:textAlignment w:val="auto"/>
        <w:rPr>
          <w:rFonts w:hint="eastAsia" w:ascii="宋体" w:hAnsi="宋体" w:eastAsia="宋体" w:cs="宋体"/>
          <w:bCs/>
          <w:color w:val="auto"/>
          <w:spacing w:val="0"/>
          <w:sz w:val="21"/>
          <w:szCs w:val="21"/>
          <w:highlight w:val="none"/>
        </w:rPr>
      </w:pPr>
      <w:r>
        <w:rPr>
          <w:rFonts w:hint="eastAsia" w:ascii="宋体" w:hAnsi="宋体" w:eastAsia="宋体" w:cs="宋体"/>
          <w:bCs/>
          <w:color w:val="auto"/>
          <w:spacing w:val="0"/>
          <w:sz w:val="21"/>
          <w:szCs w:val="21"/>
          <w:highlight w:val="none"/>
        </w:rPr>
        <w:t>2、评审结论为合格或不合格，本表中有一项不符合即为不合格</w:t>
      </w:r>
      <w:r>
        <w:rPr>
          <w:rFonts w:hint="eastAsia" w:ascii="宋体" w:hAnsi="宋体" w:eastAsia="宋体" w:cs="宋体"/>
          <w:bCs/>
          <w:color w:val="auto"/>
          <w:spacing w:val="0"/>
          <w:sz w:val="21"/>
          <w:szCs w:val="21"/>
          <w:highlight w:val="none"/>
          <w:lang w:eastAsia="zh-CN"/>
        </w:rPr>
        <w:t>投标人</w:t>
      </w:r>
      <w:r>
        <w:rPr>
          <w:rFonts w:hint="eastAsia" w:ascii="宋体" w:hAnsi="宋体" w:eastAsia="宋体" w:cs="宋体"/>
          <w:bCs/>
          <w:color w:val="auto"/>
          <w:spacing w:val="0"/>
          <w:sz w:val="21"/>
          <w:szCs w:val="21"/>
          <w:highlight w:val="none"/>
        </w:rPr>
        <w:t>。</w:t>
      </w:r>
    </w:p>
    <w:p w14:paraId="512BD3B7">
      <w:pPr>
        <w:spacing w:line="360" w:lineRule="auto"/>
        <w:rPr>
          <w:rFonts w:hint="eastAsia" w:ascii="宋体" w:hAnsi="宋体" w:eastAsia="宋体" w:cs="宋体"/>
          <w:b/>
          <w:color w:val="auto"/>
          <w:sz w:val="32"/>
          <w:szCs w:val="32"/>
          <w:highlight w:val="none"/>
        </w:rPr>
      </w:pPr>
      <w:r>
        <w:rPr>
          <w:rFonts w:hint="eastAsia" w:ascii="宋体" w:hAnsi="宋体" w:eastAsia="宋体" w:cs="宋体"/>
          <w:color w:val="auto"/>
          <w:szCs w:val="21"/>
          <w:highlight w:val="none"/>
        </w:rPr>
        <w:br w:type="page"/>
      </w:r>
      <w:r>
        <w:rPr>
          <w:rFonts w:hint="eastAsia" w:ascii="宋体" w:hAnsi="宋体" w:eastAsia="宋体" w:cs="宋体"/>
          <w:b/>
          <w:color w:val="auto"/>
          <w:sz w:val="32"/>
          <w:szCs w:val="32"/>
          <w:highlight w:val="none"/>
        </w:rPr>
        <w:t>附表</w:t>
      </w:r>
      <w:r>
        <w:rPr>
          <w:rFonts w:hint="eastAsia" w:ascii="宋体" w:hAnsi="宋体" w:eastAsia="宋体" w:cs="宋体"/>
          <w:b/>
          <w:color w:val="auto"/>
          <w:sz w:val="32"/>
          <w:szCs w:val="32"/>
          <w:highlight w:val="none"/>
          <w:lang w:val="en-US" w:eastAsia="zh-CN"/>
        </w:rPr>
        <w:t>2</w:t>
      </w:r>
      <w:r>
        <w:rPr>
          <w:rFonts w:hint="eastAsia" w:ascii="宋体" w:hAnsi="宋体" w:eastAsia="宋体" w:cs="宋体"/>
          <w:b/>
          <w:color w:val="auto"/>
          <w:sz w:val="32"/>
          <w:szCs w:val="32"/>
          <w:highlight w:val="none"/>
        </w:rPr>
        <w:t xml:space="preserve"> 响应性评审表</w:t>
      </w:r>
    </w:p>
    <w:tbl>
      <w:tblPr>
        <w:tblStyle w:val="1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6066"/>
        <w:gridCol w:w="1926"/>
      </w:tblGrid>
      <w:tr w14:paraId="6D586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4" w:type="dxa"/>
            <w:vAlign w:val="center"/>
          </w:tcPr>
          <w:p w14:paraId="67CBB582">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序号</w:t>
            </w:r>
          </w:p>
        </w:tc>
        <w:tc>
          <w:tcPr>
            <w:tcW w:w="5703" w:type="dxa"/>
            <w:vAlign w:val="center"/>
          </w:tcPr>
          <w:p w14:paraId="18A74EA3">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评审因素及标准</w:t>
            </w:r>
          </w:p>
        </w:tc>
        <w:tc>
          <w:tcPr>
            <w:tcW w:w="1811" w:type="dxa"/>
            <w:vAlign w:val="center"/>
          </w:tcPr>
          <w:p w14:paraId="6CC27B41">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合格/不合格</w:t>
            </w:r>
          </w:p>
        </w:tc>
      </w:tr>
      <w:tr w14:paraId="0CE7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4" w:type="dxa"/>
            <w:vAlign w:val="center"/>
          </w:tcPr>
          <w:p w14:paraId="1A3F6160">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1</w:t>
            </w:r>
          </w:p>
        </w:tc>
        <w:tc>
          <w:tcPr>
            <w:tcW w:w="5703" w:type="dxa"/>
            <w:vAlign w:val="center"/>
          </w:tcPr>
          <w:p w14:paraId="7607C37C">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是否对比选文件的实质性要求作出响应；</w:t>
            </w:r>
          </w:p>
        </w:tc>
        <w:tc>
          <w:tcPr>
            <w:tcW w:w="1811" w:type="dxa"/>
            <w:vAlign w:val="center"/>
          </w:tcPr>
          <w:p w14:paraId="43A7F859">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left"/>
              <w:textAlignment w:val="auto"/>
              <w:rPr>
                <w:rFonts w:hint="eastAsia" w:ascii="宋体" w:hAnsi="宋体" w:eastAsia="宋体" w:cs="宋体"/>
                <w:color w:val="auto"/>
                <w:highlight w:val="none"/>
                <w:vertAlign w:val="baseline"/>
                <w:lang w:val="en-US" w:eastAsia="zh-CN"/>
              </w:rPr>
            </w:pPr>
          </w:p>
        </w:tc>
      </w:tr>
      <w:tr w14:paraId="3BFC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4" w:type="dxa"/>
            <w:vAlign w:val="center"/>
          </w:tcPr>
          <w:p w14:paraId="477C46C6">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2</w:t>
            </w:r>
          </w:p>
        </w:tc>
        <w:tc>
          <w:tcPr>
            <w:tcW w:w="5703" w:type="dxa"/>
            <w:vAlign w:val="center"/>
          </w:tcPr>
          <w:p w14:paraId="649516AE">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按照比选文件规定要求签署、盖章的；</w:t>
            </w:r>
          </w:p>
        </w:tc>
        <w:tc>
          <w:tcPr>
            <w:tcW w:w="1811" w:type="dxa"/>
            <w:vAlign w:val="center"/>
          </w:tcPr>
          <w:p w14:paraId="6E837466">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left"/>
              <w:textAlignment w:val="auto"/>
              <w:rPr>
                <w:rFonts w:hint="eastAsia" w:ascii="宋体" w:hAnsi="宋体" w:eastAsia="宋体" w:cs="宋体"/>
                <w:color w:val="auto"/>
                <w:highlight w:val="none"/>
                <w:vertAlign w:val="baseline"/>
                <w:lang w:val="en-US" w:eastAsia="zh-CN"/>
              </w:rPr>
            </w:pPr>
          </w:p>
        </w:tc>
      </w:tr>
      <w:tr w14:paraId="7650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4" w:type="dxa"/>
            <w:vAlign w:val="center"/>
          </w:tcPr>
          <w:p w14:paraId="48B2D6DE">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3</w:t>
            </w:r>
          </w:p>
        </w:tc>
        <w:tc>
          <w:tcPr>
            <w:tcW w:w="5703" w:type="dxa"/>
            <w:vAlign w:val="center"/>
          </w:tcPr>
          <w:p w14:paraId="102F8EEE">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报价未超预算或最高限价；</w:t>
            </w:r>
          </w:p>
        </w:tc>
        <w:tc>
          <w:tcPr>
            <w:tcW w:w="1811" w:type="dxa"/>
            <w:vAlign w:val="center"/>
          </w:tcPr>
          <w:p w14:paraId="54150C29">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left"/>
              <w:textAlignment w:val="auto"/>
              <w:rPr>
                <w:rFonts w:hint="eastAsia" w:ascii="宋体" w:hAnsi="宋体" w:eastAsia="宋体" w:cs="宋体"/>
                <w:color w:val="auto"/>
                <w:highlight w:val="none"/>
                <w:vertAlign w:val="baseline"/>
                <w:lang w:val="en-US" w:eastAsia="zh-CN"/>
              </w:rPr>
            </w:pPr>
          </w:p>
        </w:tc>
      </w:tr>
      <w:tr w14:paraId="0A36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4" w:type="dxa"/>
            <w:vAlign w:val="center"/>
          </w:tcPr>
          <w:p w14:paraId="26BDB69D">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4</w:t>
            </w:r>
          </w:p>
        </w:tc>
        <w:tc>
          <w:tcPr>
            <w:tcW w:w="5703" w:type="dxa"/>
            <w:vAlign w:val="center"/>
          </w:tcPr>
          <w:p w14:paraId="333F814D">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投标文件有效期是否满足；</w:t>
            </w:r>
          </w:p>
        </w:tc>
        <w:tc>
          <w:tcPr>
            <w:tcW w:w="1811" w:type="dxa"/>
            <w:vAlign w:val="center"/>
          </w:tcPr>
          <w:p w14:paraId="32D015B8">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left"/>
              <w:textAlignment w:val="auto"/>
              <w:rPr>
                <w:rFonts w:hint="eastAsia" w:ascii="宋体" w:hAnsi="宋体" w:eastAsia="宋体" w:cs="宋体"/>
                <w:color w:val="auto"/>
                <w:highlight w:val="none"/>
                <w:vertAlign w:val="baseline"/>
                <w:lang w:val="en-US" w:eastAsia="zh-CN"/>
              </w:rPr>
            </w:pPr>
          </w:p>
        </w:tc>
      </w:tr>
      <w:tr w14:paraId="1A6D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14" w:type="dxa"/>
            <w:vAlign w:val="center"/>
          </w:tcPr>
          <w:p w14:paraId="12BD3815">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5</w:t>
            </w:r>
          </w:p>
        </w:tc>
        <w:tc>
          <w:tcPr>
            <w:tcW w:w="5703" w:type="dxa"/>
            <w:vAlign w:val="center"/>
          </w:tcPr>
          <w:p w14:paraId="1BC7984D">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符合法律、规章、规范性文件和比选文件其他规定的。</w:t>
            </w:r>
          </w:p>
        </w:tc>
        <w:tc>
          <w:tcPr>
            <w:tcW w:w="1811" w:type="dxa"/>
            <w:vAlign w:val="center"/>
          </w:tcPr>
          <w:p w14:paraId="28741D93">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left"/>
              <w:textAlignment w:val="auto"/>
              <w:rPr>
                <w:rFonts w:hint="eastAsia" w:ascii="宋体" w:hAnsi="宋体" w:eastAsia="宋体" w:cs="宋体"/>
                <w:color w:val="auto"/>
                <w:highlight w:val="none"/>
                <w:vertAlign w:val="baseline"/>
                <w:lang w:val="en-US" w:eastAsia="zh-CN"/>
              </w:rPr>
            </w:pPr>
          </w:p>
        </w:tc>
      </w:tr>
    </w:tbl>
    <w:p w14:paraId="24D8E483">
      <w:pPr>
        <w:pStyle w:val="16"/>
        <w:keepNext w:val="0"/>
        <w:keepLines w:val="0"/>
        <w:pageBreakBefore w:val="0"/>
        <w:widowControl w:val="0"/>
        <w:kinsoku w:val="0"/>
        <w:wordWrap w:val="0"/>
        <w:overflowPunct w:val="0"/>
        <w:topLinePunct w:val="0"/>
        <w:autoSpaceDE w:val="0"/>
        <w:autoSpaceDN w:val="0"/>
        <w:bidi w:val="0"/>
        <w:adjustRightInd w:val="0"/>
        <w:snapToGrid w:val="0"/>
        <w:spacing w:before="0" w:beforeAutospacing="0" w:after="0" w:afterAutospacing="0" w:line="312" w:lineRule="auto"/>
        <w:textAlignment w:val="auto"/>
        <w:rPr>
          <w:rFonts w:hint="eastAsia" w:ascii="宋体" w:hAnsi="宋体" w:eastAsia="宋体" w:cs="宋体"/>
          <w:bCs/>
          <w:color w:val="auto"/>
          <w:spacing w:val="0"/>
          <w:sz w:val="21"/>
          <w:szCs w:val="21"/>
          <w:highlight w:val="none"/>
        </w:rPr>
      </w:pPr>
      <w:r>
        <w:rPr>
          <w:rFonts w:hint="eastAsia" w:ascii="宋体" w:hAnsi="宋体" w:eastAsia="宋体" w:cs="宋体"/>
          <w:bCs/>
          <w:color w:val="auto"/>
          <w:spacing w:val="0"/>
          <w:sz w:val="21"/>
          <w:szCs w:val="21"/>
          <w:highlight w:val="none"/>
        </w:rPr>
        <w:t>备注：1、符合打“√”，不符合打“×”。</w:t>
      </w:r>
    </w:p>
    <w:p w14:paraId="7D4053A9">
      <w:pPr>
        <w:pStyle w:val="16"/>
        <w:keepNext w:val="0"/>
        <w:keepLines w:val="0"/>
        <w:pageBreakBefore w:val="0"/>
        <w:widowControl w:val="0"/>
        <w:kinsoku w:val="0"/>
        <w:wordWrap w:val="0"/>
        <w:overflowPunct w:val="0"/>
        <w:topLinePunct w:val="0"/>
        <w:autoSpaceDE w:val="0"/>
        <w:autoSpaceDN w:val="0"/>
        <w:bidi w:val="0"/>
        <w:adjustRightInd w:val="0"/>
        <w:snapToGrid w:val="0"/>
        <w:spacing w:before="0" w:beforeAutospacing="0" w:after="0" w:afterAutospacing="0" w:line="312" w:lineRule="auto"/>
        <w:ind w:left="482"/>
        <w:textAlignment w:val="auto"/>
        <w:rPr>
          <w:rFonts w:hint="eastAsia" w:ascii="宋体" w:hAnsi="宋体" w:eastAsia="宋体" w:cs="宋体"/>
          <w:bCs/>
          <w:color w:val="auto"/>
          <w:spacing w:val="0"/>
          <w:sz w:val="21"/>
          <w:szCs w:val="21"/>
          <w:highlight w:val="none"/>
        </w:rPr>
      </w:pPr>
      <w:r>
        <w:rPr>
          <w:rFonts w:hint="eastAsia" w:ascii="宋体" w:hAnsi="宋体" w:eastAsia="宋体" w:cs="宋体"/>
          <w:bCs/>
          <w:color w:val="auto"/>
          <w:spacing w:val="0"/>
          <w:sz w:val="21"/>
          <w:szCs w:val="21"/>
          <w:highlight w:val="none"/>
        </w:rPr>
        <w:t>2、评审结论为合格或不合格，本表中有一项不符合即为不合格</w:t>
      </w:r>
      <w:r>
        <w:rPr>
          <w:rFonts w:hint="eastAsia" w:ascii="宋体" w:hAnsi="宋体" w:eastAsia="宋体" w:cs="宋体"/>
          <w:bCs/>
          <w:color w:val="auto"/>
          <w:spacing w:val="0"/>
          <w:sz w:val="21"/>
          <w:szCs w:val="21"/>
          <w:highlight w:val="none"/>
          <w:lang w:eastAsia="zh-CN"/>
        </w:rPr>
        <w:t>投标人</w:t>
      </w:r>
      <w:r>
        <w:rPr>
          <w:rFonts w:hint="eastAsia" w:ascii="宋体" w:hAnsi="宋体" w:eastAsia="宋体" w:cs="宋体"/>
          <w:bCs/>
          <w:color w:val="auto"/>
          <w:spacing w:val="0"/>
          <w:sz w:val="21"/>
          <w:szCs w:val="21"/>
          <w:highlight w:val="none"/>
        </w:rPr>
        <w:t>。</w:t>
      </w:r>
    </w:p>
    <w:p w14:paraId="1F283FB7">
      <w:pPr>
        <w:spacing w:line="360" w:lineRule="auto"/>
        <w:ind w:firstLine="420" w:firstLineChars="200"/>
        <w:rPr>
          <w:rFonts w:hint="eastAsia" w:ascii="宋体" w:hAnsi="宋体" w:eastAsia="宋体" w:cs="宋体"/>
          <w:color w:val="auto"/>
          <w:szCs w:val="21"/>
          <w:highlight w:val="none"/>
        </w:rPr>
      </w:pPr>
    </w:p>
    <w:p w14:paraId="23756373">
      <w:pPr>
        <w:pStyle w:val="16"/>
        <w:spacing w:before="0" w:beforeAutospacing="0" w:after="120" w:afterAutospacing="0"/>
        <w:ind w:firstLine="240" w:firstLineChars="100"/>
        <w:jc w:val="both"/>
        <w:rPr>
          <w:rFonts w:hint="eastAsia" w:ascii="宋体" w:hAnsi="宋体" w:eastAsia="宋体" w:cs="宋体"/>
          <w:color w:val="auto"/>
          <w:spacing w:val="0"/>
          <w:szCs w:val="21"/>
          <w:highlight w:val="none"/>
        </w:rPr>
      </w:pPr>
    </w:p>
    <w:p w14:paraId="1BC89031">
      <w:pPr>
        <w:rPr>
          <w:rFonts w:hint="eastAsia" w:ascii="宋体" w:hAnsi="宋体" w:eastAsia="宋体" w:cs="宋体"/>
          <w:b/>
          <w:color w:val="auto"/>
          <w:sz w:val="32"/>
          <w:szCs w:val="32"/>
          <w:highlight w:val="none"/>
        </w:rPr>
      </w:pPr>
    </w:p>
    <w:p w14:paraId="4B17ED28">
      <w:pPr>
        <w:rPr>
          <w:rFonts w:hint="eastAsia" w:ascii="宋体" w:hAnsi="宋体" w:eastAsia="宋体" w:cs="宋体"/>
          <w:b/>
          <w:color w:val="auto"/>
          <w:sz w:val="32"/>
          <w:szCs w:val="32"/>
          <w:highlight w:val="none"/>
        </w:rPr>
      </w:pPr>
    </w:p>
    <w:p w14:paraId="573CDDA9">
      <w:pPr>
        <w:spacing w:line="360" w:lineRule="auto"/>
        <w:rPr>
          <w:rFonts w:hint="eastAsia" w:ascii="宋体" w:hAnsi="宋体" w:eastAsia="宋体" w:cs="宋体"/>
          <w:b/>
          <w:color w:val="auto"/>
          <w:sz w:val="32"/>
          <w:szCs w:val="32"/>
          <w:highlight w:val="none"/>
        </w:rPr>
      </w:pPr>
      <w:r>
        <w:rPr>
          <w:rFonts w:hint="eastAsia" w:ascii="宋体" w:hAnsi="宋体" w:eastAsia="宋体" w:cs="宋体"/>
          <w:color w:val="auto"/>
          <w:szCs w:val="21"/>
          <w:highlight w:val="none"/>
        </w:rPr>
        <w:br w:type="page"/>
      </w:r>
      <w:r>
        <w:rPr>
          <w:rFonts w:hint="eastAsia" w:ascii="宋体" w:hAnsi="宋体" w:eastAsia="宋体" w:cs="宋体"/>
          <w:b/>
          <w:color w:val="auto"/>
          <w:sz w:val="32"/>
          <w:szCs w:val="32"/>
          <w:highlight w:val="none"/>
        </w:rPr>
        <w:t>附表</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 xml:space="preserve"> 商务部分评分表</w:t>
      </w:r>
    </w:p>
    <w:tbl>
      <w:tblPr>
        <w:tblStyle w:val="1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170"/>
        <w:gridCol w:w="5910"/>
        <w:gridCol w:w="666"/>
        <w:gridCol w:w="666"/>
      </w:tblGrid>
      <w:tr w14:paraId="285C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9" w:type="dxa"/>
            <w:vAlign w:val="center"/>
          </w:tcPr>
          <w:p w14:paraId="685E423A">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序号</w:t>
            </w:r>
          </w:p>
        </w:tc>
        <w:tc>
          <w:tcPr>
            <w:tcW w:w="1170" w:type="dxa"/>
            <w:vAlign w:val="center"/>
          </w:tcPr>
          <w:p w14:paraId="2DA34994">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评审因素</w:t>
            </w:r>
          </w:p>
        </w:tc>
        <w:tc>
          <w:tcPr>
            <w:tcW w:w="5910" w:type="dxa"/>
            <w:vAlign w:val="center"/>
          </w:tcPr>
          <w:p w14:paraId="594C7C75">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评审标准</w:t>
            </w:r>
          </w:p>
        </w:tc>
        <w:tc>
          <w:tcPr>
            <w:tcW w:w="666" w:type="dxa"/>
            <w:vAlign w:val="center"/>
          </w:tcPr>
          <w:p w14:paraId="4840FDCB">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权重</w:t>
            </w:r>
          </w:p>
        </w:tc>
        <w:tc>
          <w:tcPr>
            <w:tcW w:w="666" w:type="dxa"/>
            <w:vAlign w:val="center"/>
          </w:tcPr>
          <w:p w14:paraId="7E3AAD27">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评审</w:t>
            </w:r>
          </w:p>
          <w:p w14:paraId="487449DA">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得分</w:t>
            </w:r>
          </w:p>
        </w:tc>
      </w:tr>
      <w:tr w14:paraId="7E9A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9" w:type="dxa"/>
            <w:vAlign w:val="center"/>
          </w:tcPr>
          <w:p w14:paraId="043047E6">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1</w:t>
            </w:r>
          </w:p>
        </w:tc>
        <w:tc>
          <w:tcPr>
            <w:tcW w:w="1170" w:type="dxa"/>
            <w:vAlign w:val="center"/>
          </w:tcPr>
          <w:p w14:paraId="0DE66B24">
            <w:pPr>
              <w:widowControl w:val="0"/>
              <w:spacing w:line="240" w:lineRule="auto"/>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综合实力</w:t>
            </w:r>
          </w:p>
        </w:tc>
        <w:tc>
          <w:tcPr>
            <w:tcW w:w="5910" w:type="dxa"/>
            <w:vAlign w:val="center"/>
          </w:tcPr>
          <w:p w14:paraId="36C3020C">
            <w:pPr>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投标人提供储能类软件著作计2分，提供充电桩类软件著作计2分，本项最高计4分。</w:t>
            </w:r>
          </w:p>
          <w:p w14:paraId="51727032">
            <w:pPr>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注：提供计算机软件著作权登记证书复印件并加盖投标人公章，否则不计分。</w:t>
            </w:r>
          </w:p>
        </w:tc>
        <w:tc>
          <w:tcPr>
            <w:tcW w:w="666" w:type="dxa"/>
            <w:vAlign w:val="center"/>
          </w:tcPr>
          <w:p w14:paraId="40BDBD12">
            <w:pPr>
              <w:widowControl w:val="0"/>
              <w:spacing w:line="240" w:lineRule="auto"/>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4</w:t>
            </w:r>
          </w:p>
        </w:tc>
        <w:tc>
          <w:tcPr>
            <w:tcW w:w="666" w:type="dxa"/>
            <w:vAlign w:val="center"/>
          </w:tcPr>
          <w:p w14:paraId="6D55A824">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p>
        </w:tc>
      </w:tr>
      <w:tr w14:paraId="650F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9" w:type="dxa"/>
            <w:vAlign w:val="center"/>
          </w:tcPr>
          <w:p w14:paraId="3657B520">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2</w:t>
            </w:r>
          </w:p>
        </w:tc>
        <w:tc>
          <w:tcPr>
            <w:tcW w:w="1170" w:type="dxa"/>
            <w:vAlign w:val="center"/>
          </w:tcPr>
          <w:p w14:paraId="3B49A1FC">
            <w:pPr>
              <w:widowControl w:val="0"/>
              <w:spacing w:line="240" w:lineRule="auto"/>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服务团队</w:t>
            </w:r>
          </w:p>
        </w:tc>
        <w:tc>
          <w:tcPr>
            <w:tcW w:w="5910" w:type="dxa"/>
            <w:vAlign w:val="center"/>
          </w:tcPr>
          <w:p w14:paraId="3D86DCCA">
            <w:pPr>
              <w:spacing w:line="240" w:lineRule="auto"/>
              <w:jc w:val="left"/>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投标人拟派本项目服务团队成员中具备有效期内的应急管理部门颁发的低压/高压电工证，每提供一人计1分，本项最高计5分。</w:t>
            </w:r>
          </w:p>
          <w:p w14:paraId="3B24ADE2">
            <w:pPr>
              <w:spacing w:line="240" w:lineRule="auto"/>
              <w:jc w:val="left"/>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注：1.提供证书复印件，并提供相关人员在投标单位近三个月（近三个月指：提交投标文件截止时间前六个月内任意连续3个月）的社保证明材料 ，以上材料须加盖投标人公章，否则不计分。2.同一人员同时提供高压电工证和低压电工证不重复计分。</w:t>
            </w:r>
          </w:p>
        </w:tc>
        <w:tc>
          <w:tcPr>
            <w:tcW w:w="666" w:type="dxa"/>
            <w:vAlign w:val="center"/>
          </w:tcPr>
          <w:p w14:paraId="13CC7FC0">
            <w:pPr>
              <w:widowControl w:val="0"/>
              <w:spacing w:line="240" w:lineRule="auto"/>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5</w:t>
            </w:r>
          </w:p>
        </w:tc>
        <w:tc>
          <w:tcPr>
            <w:tcW w:w="666" w:type="dxa"/>
            <w:vAlign w:val="center"/>
          </w:tcPr>
          <w:p w14:paraId="13B8F98A">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p>
        </w:tc>
      </w:tr>
      <w:tr w14:paraId="5AB6C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9" w:type="dxa"/>
            <w:vAlign w:val="center"/>
          </w:tcPr>
          <w:p w14:paraId="6B18DE79">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3</w:t>
            </w:r>
          </w:p>
        </w:tc>
        <w:tc>
          <w:tcPr>
            <w:tcW w:w="1170" w:type="dxa"/>
            <w:vAlign w:val="center"/>
          </w:tcPr>
          <w:p w14:paraId="52D28B5C">
            <w:pPr>
              <w:widowControl w:val="0"/>
              <w:spacing w:line="240" w:lineRule="auto"/>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经营业绩</w:t>
            </w:r>
          </w:p>
        </w:tc>
        <w:tc>
          <w:tcPr>
            <w:tcW w:w="5910" w:type="dxa"/>
            <w:vAlign w:val="center"/>
          </w:tcPr>
          <w:p w14:paraId="2109199B">
            <w:pPr>
              <w:spacing w:line="240" w:lineRule="auto"/>
              <w:jc w:val="left"/>
              <w:rPr>
                <w:rFonts w:hint="eastAsia" w:ascii="宋体" w:hAnsi="宋体" w:eastAsia="宋体" w:cs="宋体"/>
                <w:b w:val="0"/>
                <w:bCs w:val="0"/>
                <w:color w:val="auto"/>
                <w:szCs w:val="21"/>
                <w:highlight w:val="none"/>
                <w:vertAlign w:val="baseline"/>
                <w:lang w:val="en-US" w:eastAsia="zh-CN"/>
              </w:rPr>
            </w:pPr>
            <w:r>
              <w:rPr>
                <w:rFonts w:hint="eastAsia" w:ascii="宋体" w:hAnsi="宋体" w:eastAsia="宋体" w:cs="宋体"/>
                <w:b w:val="0"/>
                <w:bCs w:val="0"/>
                <w:color w:val="auto"/>
                <w:szCs w:val="21"/>
                <w:highlight w:val="none"/>
                <w:vertAlign w:val="baseline"/>
                <w:lang w:val="en-US" w:eastAsia="zh-CN"/>
              </w:rPr>
              <w:t>投标人提供</w:t>
            </w:r>
            <w:r>
              <w:rPr>
                <w:rFonts w:hint="eastAsia" w:ascii="宋体" w:hAnsi="宋体" w:eastAsia="宋体" w:cs="宋体"/>
                <w:b w:val="0"/>
                <w:bCs w:val="0"/>
                <w:snapToGrid w:val="0"/>
                <w:color w:val="auto"/>
                <w:kern w:val="0"/>
                <w:sz w:val="21"/>
                <w:szCs w:val="21"/>
                <w:highlight w:val="none"/>
              </w:rPr>
              <w:t>投标截止时间前36个月内（时间以合同签订时间为准）</w:t>
            </w:r>
            <w:r>
              <w:rPr>
                <w:rFonts w:hint="eastAsia" w:ascii="宋体" w:hAnsi="宋体" w:eastAsia="宋体" w:cs="宋体"/>
                <w:b w:val="0"/>
                <w:bCs w:val="0"/>
                <w:color w:val="auto"/>
                <w:szCs w:val="21"/>
                <w:highlight w:val="none"/>
                <w:vertAlign w:val="baseline"/>
                <w:lang w:val="en-US" w:eastAsia="zh-CN"/>
              </w:rPr>
              <w:t>储能和充电桩的运营业绩。</w:t>
            </w:r>
          </w:p>
          <w:p w14:paraId="41F0A30B">
            <w:pPr>
              <w:spacing w:line="240" w:lineRule="auto"/>
              <w:jc w:val="left"/>
              <w:rPr>
                <w:rFonts w:hint="eastAsia" w:ascii="宋体" w:hAnsi="宋体" w:eastAsia="宋体" w:cs="宋体"/>
                <w:b w:val="0"/>
                <w:bCs w:val="0"/>
                <w:color w:val="auto"/>
                <w:szCs w:val="21"/>
                <w:highlight w:val="none"/>
                <w:vertAlign w:val="baseline"/>
                <w:lang w:val="en-US" w:eastAsia="zh-CN"/>
              </w:rPr>
            </w:pPr>
            <w:r>
              <w:rPr>
                <w:rFonts w:hint="eastAsia" w:ascii="宋体" w:hAnsi="宋体" w:eastAsia="宋体" w:cs="宋体"/>
                <w:b w:val="0"/>
                <w:bCs w:val="0"/>
                <w:color w:val="auto"/>
                <w:szCs w:val="21"/>
                <w:highlight w:val="none"/>
                <w:vertAlign w:val="baseline"/>
                <w:lang w:val="en-US" w:eastAsia="zh-CN"/>
              </w:rPr>
              <w:t>提供1个1MWh以上装机规模的储能运营业绩计4分，提供1个充电桩业绩计3分。本项最高计7分。</w:t>
            </w:r>
          </w:p>
          <w:p w14:paraId="634752E5">
            <w:pPr>
              <w:spacing w:line="240" w:lineRule="auto"/>
              <w:jc w:val="left"/>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szCs w:val="21"/>
                <w:highlight w:val="none"/>
                <w:vertAlign w:val="baseline"/>
                <w:lang w:val="en-US" w:eastAsia="zh-CN"/>
              </w:rPr>
              <w:t>注：1.储能运营业绩需提供已签订的能源管理协议（需提供含项目名称、装机容量、签署页等关键页面）。2.充电桩运营业绩需同时提供项目发改部门批复的投资备案表（或备案证明）及对应的运营平台截图。3.提供以上资料复印件并加盖投标人公章，否则不计分。</w:t>
            </w:r>
          </w:p>
        </w:tc>
        <w:tc>
          <w:tcPr>
            <w:tcW w:w="666" w:type="dxa"/>
            <w:vAlign w:val="center"/>
          </w:tcPr>
          <w:p w14:paraId="3D2E7901">
            <w:pPr>
              <w:widowControl w:val="0"/>
              <w:spacing w:line="240" w:lineRule="auto"/>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7</w:t>
            </w:r>
          </w:p>
        </w:tc>
        <w:tc>
          <w:tcPr>
            <w:tcW w:w="666" w:type="dxa"/>
            <w:vAlign w:val="center"/>
          </w:tcPr>
          <w:p w14:paraId="1B0ACEC8">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p>
        </w:tc>
      </w:tr>
    </w:tbl>
    <w:p w14:paraId="2FF71053">
      <w:pPr>
        <w:rPr>
          <w:rFonts w:hint="eastAsia" w:ascii="宋体" w:hAnsi="宋体" w:eastAsia="宋体" w:cs="宋体"/>
          <w:b/>
          <w:color w:val="auto"/>
          <w:spacing w:val="0"/>
          <w:kern w:val="2"/>
          <w:sz w:val="32"/>
          <w:szCs w:val="32"/>
          <w:highlight w:val="none"/>
        </w:rPr>
      </w:pPr>
      <w:r>
        <w:rPr>
          <w:rFonts w:hint="eastAsia" w:ascii="宋体" w:hAnsi="宋体" w:eastAsia="宋体" w:cs="宋体"/>
          <w:b/>
          <w:color w:val="auto"/>
          <w:spacing w:val="0"/>
          <w:kern w:val="2"/>
          <w:sz w:val="32"/>
          <w:szCs w:val="32"/>
          <w:highlight w:val="none"/>
        </w:rPr>
        <w:br w:type="page"/>
      </w:r>
    </w:p>
    <w:p w14:paraId="7E72E7E9">
      <w:pPr>
        <w:pStyle w:val="16"/>
        <w:spacing w:before="0" w:beforeAutospacing="0" w:after="0" w:afterAutospacing="0"/>
        <w:jc w:val="both"/>
        <w:rPr>
          <w:rFonts w:hint="eastAsia" w:ascii="宋体" w:hAnsi="宋体" w:eastAsia="宋体" w:cs="宋体"/>
          <w:b/>
          <w:color w:val="auto"/>
          <w:spacing w:val="0"/>
          <w:sz w:val="32"/>
          <w:szCs w:val="32"/>
          <w:highlight w:val="none"/>
        </w:rPr>
      </w:pPr>
      <w:r>
        <w:rPr>
          <w:rFonts w:hint="eastAsia" w:ascii="宋体" w:hAnsi="宋体" w:eastAsia="宋体" w:cs="宋体"/>
          <w:b/>
          <w:color w:val="auto"/>
          <w:spacing w:val="0"/>
          <w:kern w:val="2"/>
          <w:sz w:val="32"/>
          <w:szCs w:val="32"/>
          <w:highlight w:val="none"/>
        </w:rPr>
        <w:t>附表</w:t>
      </w:r>
      <w:r>
        <w:rPr>
          <w:rFonts w:hint="eastAsia" w:ascii="宋体" w:hAnsi="宋体" w:eastAsia="宋体" w:cs="宋体"/>
          <w:b/>
          <w:color w:val="auto"/>
          <w:spacing w:val="0"/>
          <w:kern w:val="2"/>
          <w:sz w:val="32"/>
          <w:szCs w:val="32"/>
          <w:highlight w:val="none"/>
          <w:lang w:val="en-US" w:eastAsia="zh-CN"/>
        </w:rPr>
        <w:t>4</w:t>
      </w:r>
      <w:r>
        <w:rPr>
          <w:rFonts w:hint="eastAsia" w:ascii="宋体" w:hAnsi="宋体" w:eastAsia="宋体" w:cs="宋体"/>
          <w:b/>
          <w:color w:val="auto"/>
          <w:spacing w:val="0"/>
          <w:kern w:val="2"/>
          <w:sz w:val="32"/>
          <w:szCs w:val="32"/>
          <w:highlight w:val="none"/>
        </w:rPr>
        <w:t xml:space="preserve"> 技术部分评分表</w:t>
      </w:r>
    </w:p>
    <w:tbl>
      <w:tblPr>
        <w:tblStyle w:val="1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185"/>
        <w:gridCol w:w="660"/>
        <w:gridCol w:w="5235"/>
        <w:gridCol w:w="660"/>
        <w:gridCol w:w="672"/>
      </w:tblGrid>
      <w:tr w14:paraId="652C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9" w:type="dxa"/>
            <w:vAlign w:val="center"/>
          </w:tcPr>
          <w:p w14:paraId="6B30DE0F">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序号</w:t>
            </w:r>
          </w:p>
        </w:tc>
        <w:tc>
          <w:tcPr>
            <w:tcW w:w="1185" w:type="dxa"/>
            <w:vAlign w:val="center"/>
          </w:tcPr>
          <w:p w14:paraId="0AC12DB8">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评审因素</w:t>
            </w:r>
          </w:p>
        </w:tc>
        <w:tc>
          <w:tcPr>
            <w:tcW w:w="5895" w:type="dxa"/>
            <w:gridSpan w:val="2"/>
            <w:vAlign w:val="center"/>
          </w:tcPr>
          <w:p w14:paraId="604145BB">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评审标准</w:t>
            </w:r>
          </w:p>
        </w:tc>
        <w:tc>
          <w:tcPr>
            <w:tcW w:w="660" w:type="dxa"/>
            <w:vAlign w:val="center"/>
          </w:tcPr>
          <w:p w14:paraId="4379D585">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权重</w:t>
            </w:r>
          </w:p>
        </w:tc>
        <w:tc>
          <w:tcPr>
            <w:tcW w:w="672" w:type="dxa"/>
            <w:vAlign w:val="center"/>
          </w:tcPr>
          <w:p w14:paraId="3AFB332B">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评审</w:t>
            </w:r>
          </w:p>
          <w:p w14:paraId="760893CE">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得分</w:t>
            </w:r>
          </w:p>
        </w:tc>
      </w:tr>
      <w:tr w14:paraId="7358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9" w:type="dxa"/>
            <w:vMerge w:val="restart"/>
            <w:vAlign w:val="center"/>
          </w:tcPr>
          <w:p w14:paraId="747EF7BC">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1</w:t>
            </w:r>
          </w:p>
        </w:tc>
        <w:tc>
          <w:tcPr>
            <w:tcW w:w="1185" w:type="dxa"/>
            <w:vMerge w:val="restart"/>
            <w:vAlign w:val="center"/>
          </w:tcPr>
          <w:p w14:paraId="2CAFC899">
            <w:pPr>
              <w:widowControl w:val="0"/>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技术规范方案</w:t>
            </w:r>
          </w:p>
        </w:tc>
        <w:tc>
          <w:tcPr>
            <w:tcW w:w="660" w:type="dxa"/>
            <w:vAlign w:val="center"/>
          </w:tcPr>
          <w:p w14:paraId="56B98977">
            <w:pP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储能</w:t>
            </w:r>
          </w:p>
        </w:tc>
        <w:tc>
          <w:tcPr>
            <w:tcW w:w="5235" w:type="dxa"/>
            <w:shd w:val="clear" w:color="auto" w:fill="auto"/>
            <w:vAlign w:val="center"/>
          </w:tcPr>
          <w:p w14:paraId="35FC9C0A">
            <w:pP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评标委员会根据投标人提供的技术规范方案进行综合评审，方案内容包含：①储能电站运营管理方案；②属地化服务能力；③故障维修方案。</w:t>
            </w:r>
          </w:p>
          <w:p w14:paraId="1E493DE3">
            <w:pPr>
              <w:widowControl w:val="0"/>
              <w:jc w:val="left"/>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以上3项内容为专门针对本项目编制，符合本项目实际情况，具有可行性、可操作性的计9分，缺少一项内容扣3分，每项内容中存在缺陷的每处扣1分，扣完为止。</w:t>
            </w:r>
          </w:p>
          <w:p w14:paraId="76AB00C7">
            <w:pP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注：缺陷是指方案中存在①不适用项目实际情况的情形②凭空编造③逻辑漏洞④科学原理错误⑤不可能实现的夸大情形等。</w:t>
            </w:r>
          </w:p>
        </w:tc>
        <w:tc>
          <w:tcPr>
            <w:tcW w:w="660" w:type="dxa"/>
            <w:vMerge w:val="restart"/>
            <w:vAlign w:val="center"/>
          </w:tcPr>
          <w:p w14:paraId="57548070">
            <w:pPr>
              <w:widowControl w:val="0"/>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18</w:t>
            </w:r>
          </w:p>
        </w:tc>
        <w:tc>
          <w:tcPr>
            <w:tcW w:w="672" w:type="dxa"/>
            <w:vMerge w:val="restart"/>
            <w:vAlign w:val="center"/>
          </w:tcPr>
          <w:p w14:paraId="3192FB90">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highlight w:val="none"/>
                <w:vertAlign w:val="baseline"/>
                <w:lang w:val="en-US" w:eastAsia="zh-CN"/>
              </w:rPr>
            </w:pPr>
          </w:p>
        </w:tc>
      </w:tr>
      <w:tr w14:paraId="7623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9" w:type="dxa"/>
            <w:vMerge w:val="continue"/>
            <w:vAlign w:val="center"/>
          </w:tcPr>
          <w:p w14:paraId="3CEF25B7">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highlight w:val="none"/>
                <w:vertAlign w:val="baseline"/>
                <w:lang w:val="en-US" w:eastAsia="zh-CN"/>
              </w:rPr>
            </w:pPr>
          </w:p>
        </w:tc>
        <w:tc>
          <w:tcPr>
            <w:tcW w:w="1185" w:type="dxa"/>
            <w:vMerge w:val="continue"/>
            <w:vAlign w:val="center"/>
          </w:tcPr>
          <w:p w14:paraId="47ACEB96">
            <w:pPr>
              <w:widowControl w:val="0"/>
              <w:jc w:val="center"/>
              <w:rPr>
                <w:rFonts w:hint="eastAsia" w:ascii="宋体" w:hAnsi="宋体" w:eastAsia="宋体" w:cs="宋体"/>
                <w:color w:val="auto"/>
                <w:highlight w:val="none"/>
                <w:vertAlign w:val="baseline"/>
                <w:lang w:val="en-US" w:eastAsia="zh-CN"/>
              </w:rPr>
            </w:pPr>
          </w:p>
        </w:tc>
        <w:tc>
          <w:tcPr>
            <w:tcW w:w="660" w:type="dxa"/>
            <w:vAlign w:val="center"/>
          </w:tcPr>
          <w:p w14:paraId="3A07440A">
            <w:pPr>
              <w:widowControl w:val="0"/>
              <w:jc w:val="left"/>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充电桩</w:t>
            </w:r>
          </w:p>
        </w:tc>
        <w:tc>
          <w:tcPr>
            <w:tcW w:w="5235" w:type="dxa"/>
            <w:shd w:val="clear" w:color="auto" w:fill="auto"/>
            <w:vAlign w:val="center"/>
          </w:tcPr>
          <w:p w14:paraId="6312C6CE">
            <w:pPr>
              <w:rPr>
                <w:rFonts w:hint="eastAsia" w:ascii="宋体" w:hAnsi="宋体" w:eastAsia="宋体" w:cs="宋体"/>
                <w:color w:val="auto"/>
                <w:highlight w:val="none"/>
              </w:rPr>
            </w:pPr>
            <w:r>
              <w:rPr>
                <w:rFonts w:hint="eastAsia" w:ascii="宋体" w:hAnsi="宋体" w:eastAsia="宋体" w:cs="宋体"/>
                <w:color w:val="auto"/>
                <w:highlight w:val="none"/>
                <w:vertAlign w:val="baseline"/>
                <w:lang w:val="en-US" w:eastAsia="zh-CN"/>
              </w:rPr>
              <w:t>评标委员会根据投标人提供的技术规范方案进行综合评审，方案内容包含：①充电桩运营管理方案；②属地化服务能力；③故障维修方案。</w:t>
            </w:r>
          </w:p>
          <w:p w14:paraId="63AA0E58">
            <w:pPr>
              <w:widowControl w:val="0"/>
              <w:jc w:val="left"/>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以上3项内容为专门针对本项目编制，符合本项目实际情况，具有可行性、可操作性的计9分，缺少一项内容扣3分，每项内容中存在缺陷的每处扣1分，扣完为止。</w:t>
            </w:r>
          </w:p>
          <w:p w14:paraId="6B97CDD5">
            <w:pPr>
              <w:widowControl w:val="0"/>
              <w:jc w:val="left"/>
              <w:rPr>
                <w:rFonts w:hint="eastAsia" w:ascii="宋体" w:hAnsi="宋体" w:eastAsia="宋体" w:cs="宋体"/>
                <w:color w:val="auto"/>
                <w:kern w:val="2"/>
                <w:sz w:val="21"/>
                <w:szCs w:val="24"/>
                <w:highlight w:val="none"/>
                <w:vertAlign w:val="baseline"/>
                <w:lang w:val="en-US" w:eastAsia="zh-CN" w:bidi="ar-SA"/>
              </w:rPr>
            </w:pPr>
            <w:r>
              <w:rPr>
                <w:rFonts w:hint="eastAsia" w:ascii="宋体" w:hAnsi="宋体" w:eastAsia="宋体" w:cs="宋体"/>
                <w:color w:val="auto"/>
                <w:highlight w:val="none"/>
                <w:vertAlign w:val="baseline"/>
                <w:lang w:val="en-US" w:eastAsia="zh-CN"/>
              </w:rPr>
              <w:t>注：缺陷是指方案中存在①不适用项目实际情况的情形②凭空编造③逻辑漏洞④科学原理错误⑤不可能实现的夸大情形等。</w:t>
            </w:r>
          </w:p>
        </w:tc>
        <w:tc>
          <w:tcPr>
            <w:tcW w:w="660" w:type="dxa"/>
            <w:vMerge w:val="continue"/>
            <w:vAlign w:val="center"/>
          </w:tcPr>
          <w:p w14:paraId="612C524A">
            <w:pPr>
              <w:widowControl w:val="0"/>
              <w:jc w:val="center"/>
              <w:rPr>
                <w:rFonts w:hint="eastAsia" w:ascii="宋体" w:hAnsi="宋体" w:eastAsia="宋体" w:cs="宋体"/>
                <w:color w:val="auto"/>
                <w:highlight w:val="none"/>
                <w:vertAlign w:val="baseline"/>
                <w:lang w:val="en-US" w:eastAsia="zh-CN"/>
              </w:rPr>
            </w:pPr>
          </w:p>
        </w:tc>
        <w:tc>
          <w:tcPr>
            <w:tcW w:w="672" w:type="dxa"/>
            <w:vMerge w:val="continue"/>
            <w:vAlign w:val="center"/>
          </w:tcPr>
          <w:p w14:paraId="14D28CB3">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highlight w:val="none"/>
                <w:vertAlign w:val="baseline"/>
                <w:lang w:val="en-US" w:eastAsia="zh-CN"/>
              </w:rPr>
            </w:pPr>
          </w:p>
        </w:tc>
      </w:tr>
      <w:tr w14:paraId="1EC5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9" w:type="dxa"/>
            <w:vAlign w:val="center"/>
          </w:tcPr>
          <w:p w14:paraId="6AFDD549">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2</w:t>
            </w:r>
          </w:p>
        </w:tc>
        <w:tc>
          <w:tcPr>
            <w:tcW w:w="1185" w:type="dxa"/>
            <w:vAlign w:val="center"/>
          </w:tcPr>
          <w:p w14:paraId="64E45D15">
            <w:pPr>
              <w:widowControl w:val="0"/>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运营运维服务方案</w:t>
            </w:r>
          </w:p>
        </w:tc>
        <w:tc>
          <w:tcPr>
            <w:tcW w:w="5895" w:type="dxa"/>
            <w:gridSpan w:val="2"/>
            <w:vAlign w:val="center"/>
          </w:tcPr>
          <w:p w14:paraId="69AE9F6B">
            <w:pPr>
              <w:widowControl w:val="0"/>
              <w:jc w:val="left"/>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评标委员会根据投标人提供的运营运维服务方案进行综合评审，方案内容包含：①项目运营总体定位与目标；②收益模型与可持续运营规划方案；③安全管理方案；④应急保障方案。</w:t>
            </w:r>
          </w:p>
          <w:p w14:paraId="596A3DF9">
            <w:pPr>
              <w:widowControl w:val="0"/>
              <w:jc w:val="left"/>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以上4项内容为专门针对本项目编制，符合本项目实际情况，具有可行性、可操作性的计16分，缺少一项内容扣4分，每项内容中存在缺陷的每处扣2分，扣完为止。</w:t>
            </w:r>
          </w:p>
          <w:p w14:paraId="50EEF339">
            <w:pPr>
              <w:widowControl w:val="0"/>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注：缺陷是指方案中存在①不适用项目实际情况的情形②凭空编造③逻辑漏洞④科学原理错误⑤不可能实现的夸大情形等。</w:t>
            </w:r>
          </w:p>
        </w:tc>
        <w:tc>
          <w:tcPr>
            <w:tcW w:w="660" w:type="dxa"/>
            <w:vAlign w:val="center"/>
          </w:tcPr>
          <w:p w14:paraId="5CFD1721">
            <w:pPr>
              <w:widowControl w:val="0"/>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16</w:t>
            </w:r>
          </w:p>
        </w:tc>
        <w:tc>
          <w:tcPr>
            <w:tcW w:w="672" w:type="dxa"/>
            <w:vAlign w:val="center"/>
          </w:tcPr>
          <w:p w14:paraId="5D46A277">
            <w:pPr>
              <w:pStyle w:val="15"/>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highlight w:val="none"/>
                <w:vertAlign w:val="baseline"/>
                <w:lang w:val="en-US" w:eastAsia="zh-CN"/>
              </w:rPr>
            </w:pPr>
          </w:p>
        </w:tc>
      </w:tr>
    </w:tbl>
    <w:p w14:paraId="354A9055">
      <w:pPr>
        <w:pStyle w:val="16"/>
        <w:spacing w:before="0" w:beforeAutospacing="0" w:after="0" w:afterAutospacing="0"/>
        <w:jc w:val="both"/>
        <w:rPr>
          <w:rFonts w:hint="eastAsia" w:ascii="宋体" w:hAnsi="宋体" w:eastAsia="宋体" w:cs="宋体"/>
          <w:b/>
          <w:color w:val="auto"/>
          <w:spacing w:val="0"/>
          <w:sz w:val="32"/>
          <w:szCs w:val="32"/>
          <w:highlight w:val="none"/>
        </w:rPr>
      </w:pPr>
    </w:p>
    <w:p w14:paraId="2A1B8FB9">
      <w:pPr>
        <w:rPr>
          <w:rFonts w:hint="eastAsia" w:ascii="宋体" w:hAnsi="宋体" w:eastAsia="宋体" w:cs="宋体"/>
          <w:b/>
          <w:color w:val="auto"/>
          <w:spacing w:val="0"/>
          <w:kern w:val="2"/>
          <w:sz w:val="32"/>
          <w:szCs w:val="32"/>
          <w:highlight w:val="none"/>
        </w:rPr>
      </w:pPr>
      <w:r>
        <w:rPr>
          <w:rFonts w:hint="eastAsia" w:ascii="宋体" w:hAnsi="宋体" w:eastAsia="宋体" w:cs="宋体"/>
          <w:b/>
          <w:color w:val="auto"/>
          <w:spacing w:val="0"/>
          <w:kern w:val="2"/>
          <w:sz w:val="32"/>
          <w:szCs w:val="32"/>
          <w:highlight w:val="none"/>
        </w:rPr>
        <w:br w:type="page"/>
      </w:r>
    </w:p>
    <w:p w14:paraId="052DE977">
      <w:pPr>
        <w:pStyle w:val="16"/>
        <w:spacing w:before="0" w:beforeAutospacing="0" w:after="0" w:afterAutospacing="0"/>
        <w:jc w:val="both"/>
        <w:rPr>
          <w:rFonts w:hint="eastAsia" w:ascii="宋体" w:hAnsi="宋体" w:eastAsia="宋体" w:cs="宋体"/>
          <w:color w:val="auto"/>
          <w:spacing w:val="0"/>
          <w:highlight w:val="none"/>
        </w:rPr>
      </w:pPr>
      <w:r>
        <w:rPr>
          <w:rFonts w:hint="eastAsia" w:ascii="宋体" w:hAnsi="宋体" w:eastAsia="宋体" w:cs="宋体"/>
          <w:b/>
          <w:color w:val="auto"/>
          <w:spacing w:val="0"/>
          <w:kern w:val="2"/>
          <w:sz w:val="32"/>
          <w:szCs w:val="32"/>
          <w:highlight w:val="none"/>
        </w:rPr>
        <w:t>附表</w:t>
      </w:r>
      <w:r>
        <w:rPr>
          <w:rFonts w:hint="eastAsia" w:ascii="宋体" w:hAnsi="宋体" w:eastAsia="宋体" w:cs="宋体"/>
          <w:b/>
          <w:color w:val="auto"/>
          <w:spacing w:val="0"/>
          <w:kern w:val="2"/>
          <w:sz w:val="32"/>
          <w:szCs w:val="32"/>
          <w:highlight w:val="none"/>
          <w:lang w:val="en-US" w:eastAsia="zh-CN"/>
        </w:rPr>
        <w:t>5</w:t>
      </w:r>
      <w:r>
        <w:rPr>
          <w:rFonts w:hint="eastAsia" w:ascii="宋体" w:hAnsi="宋体" w:eastAsia="宋体" w:cs="宋体"/>
          <w:b/>
          <w:color w:val="auto"/>
          <w:spacing w:val="0"/>
          <w:kern w:val="2"/>
          <w:sz w:val="32"/>
          <w:szCs w:val="32"/>
          <w:highlight w:val="none"/>
        </w:rPr>
        <w:t xml:space="preserve"> 投标报价部分评分表</w:t>
      </w:r>
    </w:p>
    <w:tbl>
      <w:tblPr>
        <w:tblStyle w:val="1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631"/>
        <w:gridCol w:w="679"/>
        <w:gridCol w:w="5690"/>
        <w:gridCol w:w="660"/>
        <w:gridCol w:w="672"/>
      </w:tblGrid>
      <w:tr w14:paraId="662D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739" w:type="dxa"/>
            <w:vAlign w:val="center"/>
          </w:tcPr>
          <w:p w14:paraId="1F9824AF">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序号</w:t>
            </w:r>
          </w:p>
        </w:tc>
        <w:tc>
          <w:tcPr>
            <w:tcW w:w="1310" w:type="dxa"/>
            <w:gridSpan w:val="2"/>
            <w:vAlign w:val="center"/>
          </w:tcPr>
          <w:p w14:paraId="2EA9069B">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评审因素</w:t>
            </w:r>
          </w:p>
        </w:tc>
        <w:tc>
          <w:tcPr>
            <w:tcW w:w="5690" w:type="dxa"/>
            <w:vAlign w:val="center"/>
          </w:tcPr>
          <w:p w14:paraId="4C7FE3FB">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评审标准</w:t>
            </w:r>
          </w:p>
        </w:tc>
        <w:tc>
          <w:tcPr>
            <w:tcW w:w="660" w:type="dxa"/>
            <w:vAlign w:val="center"/>
          </w:tcPr>
          <w:p w14:paraId="51739F53">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权重</w:t>
            </w:r>
          </w:p>
        </w:tc>
        <w:tc>
          <w:tcPr>
            <w:tcW w:w="672" w:type="dxa"/>
            <w:vAlign w:val="center"/>
          </w:tcPr>
          <w:p w14:paraId="58AD1EF4">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评审</w:t>
            </w:r>
          </w:p>
          <w:p w14:paraId="5AF99A78">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auto"/>
                <w:highlight w:val="none"/>
                <w:vertAlign w:val="baseline"/>
                <w:lang w:val="en-US" w:eastAsia="zh-CN"/>
              </w:rPr>
            </w:pPr>
            <w:r>
              <w:rPr>
                <w:rFonts w:hint="eastAsia" w:ascii="宋体" w:hAnsi="宋体" w:eastAsia="宋体" w:cs="宋体"/>
                <w:b/>
                <w:bCs/>
                <w:color w:val="auto"/>
                <w:highlight w:val="none"/>
                <w:vertAlign w:val="baseline"/>
                <w:lang w:val="en-US" w:eastAsia="zh-CN"/>
              </w:rPr>
              <w:t>得分</w:t>
            </w:r>
          </w:p>
        </w:tc>
      </w:tr>
      <w:tr w14:paraId="2FA0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739" w:type="dxa"/>
            <w:vMerge w:val="restart"/>
            <w:vAlign w:val="center"/>
          </w:tcPr>
          <w:p w14:paraId="61F45335">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r>
              <w:rPr>
                <w:rFonts w:hint="eastAsia" w:ascii="宋体" w:hAnsi="宋体" w:eastAsia="宋体" w:cs="宋体"/>
                <w:color w:val="auto"/>
                <w:highlight w:val="none"/>
                <w:vertAlign w:val="baseline"/>
                <w:lang w:val="en-US" w:eastAsia="zh-CN"/>
              </w:rPr>
              <w:t>1</w:t>
            </w:r>
          </w:p>
        </w:tc>
        <w:tc>
          <w:tcPr>
            <w:tcW w:w="631" w:type="dxa"/>
            <w:vMerge w:val="restart"/>
            <w:vAlign w:val="center"/>
          </w:tcPr>
          <w:p w14:paraId="2DE47601">
            <w:pPr>
              <w:widowControl w:val="0"/>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sz w:val="21"/>
                <w:szCs w:val="21"/>
                <w:highlight w:val="none"/>
                <w:lang w:val="en-US" w:eastAsia="zh-CN" w:bidi="ar-SA"/>
              </w:rPr>
              <w:t>投标报价</w:t>
            </w:r>
          </w:p>
        </w:tc>
        <w:tc>
          <w:tcPr>
            <w:tcW w:w="679" w:type="dxa"/>
            <w:vAlign w:val="center"/>
          </w:tcPr>
          <w:p w14:paraId="315F4BEA">
            <w:pPr>
              <w:widowControl w:val="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储能</w:t>
            </w:r>
          </w:p>
        </w:tc>
        <w:tc>
          <w:tcPr>
            <w:tcW w:w="5690" w:type="dxa"/>
            <w:shd w:val="clear" w:color="auto" w:fill="auto"/>
            <w:vAlign w:val="center"/>
          </w:tcPr>
          <w:p w14:paraId="09E7C53C">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1.储能项目以“投标人收益分成比例（%）”作为评审价，以下所述报价均为评审价。</w:t>
            </w:r>
          </w:p>
          <w:p w14:paraId="73C91393">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2.基准价：经评审的有效投标人报价中最低报价为基准价。</w:t>
            </w:r>
          </w:p>
          <w:p w14:paraId="4CCBE8F5">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3.有效报价等于基准价时：报价得分35分；</w:t>
            </w:r>
          </w:p>
          <w:p w14:paraId="50E1F697">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有效报价高于基准价时：报价得分=基准价/有效报价*35。</w:t>
            </w:r>
          </w:p>
          <w:p w14:paraId="63A97E6B">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4.本项最高得35分，最终得分四舍五入保留后2位小数。</w:t>
            </w:r>
          </w:p>
        </w:tc>
        <w:tc>
          <w:tcPr>
            <w:tcW w:w="660" w:type="dxa"/>
            <w:vAlign w:val="center"/>
          </w:tcPr>
          <w:p w14:paraId="391F7FDF">
            <w:pPr>
              <w:widowControl w:val="0"/>
              <w:jc w:val="center"/>
              <w:rPr>
                <w:rFonts w:hint="eastAsia" w:ascii="宋体" w:hAnsi="宋体" w:eastAsia="宋体" w:cs="宋体"/>
                <w:color w:val="auto"/>
                <w:highlight w:val="none"/>
                <w:vertAlign w:val="baseline"/>
                <w:lang w:val="en-US" w:eastAsia="zh-CN"/>
              </w:rPr>
            </w:pPr>
            <w:r>
              <w:rPr>
                <w:rFonts w:hint="eastAsia" w:ascii="宋体" w:hAnsi="宋体" w:eastAsia="宋体" w:cs="宋体"/>
                <w:color w:val="auto"/>
                <w:kern w:val="2"/>
                <w:sz w:val="21"/>
                <w:szCs w:val="21"/>
                <w:highlight w:val="none"/>
                <w:lang w:val="en-US" w:eastAsia="zh-CN" w:bidi="ar-SA"/>
              </w:rPr>
              <w:t>35</w:t>
            </w:r>
          </w:p>
        </w:tc>
        <w:tc>
          <w:tcPr>
            <w:tcW w:w="672" w:type="dxa"/>
            <w:vAlign w:val="center"/>
          </w:tcPr>
          <w:p w14:paraId="368DDAB2">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p>
        </w:tc>
      </w:tr>
      <w:tr w14:paraId="5E54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739" w:type="dxa"/>
            <w:vMerge w:val="continue"/>
            <w:vAlign w:val="center"/>
          </w:tcPr>
          <w:p w14:paraId="52D043D3">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p>
        </w:tc>
        <w:tc>
          <w:tcPr>
            <w:tcW w:w="631" w:type="dxa"/>
            <w:vMerge w:val="continue"/>
            <w:vAlign w:val="center"/>
          </w:tcPr>
          <w:p w14:paraId="242CCBFC">
            <w:pPr>
              <w:widowControl w:val="0"/>
              <w:jc w:val="center"/>
              <w:rPr>
                <w:rFonts w:hint="eastAsia" w:ascii="宋体" w:hAnsi="宋体" w:eastAsia="宋体" w:cs="宋体"/>
                <w:color w:val="auto"/>
                <w:sz w:val="21"/>
                <w:szCs w:val="21"/>
                <w:highlight w:val="none"/>
                <w:lang w:val="en-US" w:eastAsia="zh-CN" w:bidi="ar-SA"/>
              </w:rPr>
            </w:pPr>
          </w:p>
        </w:tc>
        <w:tc>
          <w:tcPr>
            <w:tcW w:w="679" w:type="dxa"/>
            <w:vAlign w:val="center"/>
          </w:tcPr>
          <w:p w14:paraId="25B44AAA">
            <w:pPr>
              <w:widowControl w:val="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充电桩</w:t>
            </w:r>
          </w:p>
        </w:tc>
        <w:tc>
          <w:tcPr>
            <w:tcW w:w="5690" w:type="dxa"/>
            <w:shd w:val="clear" w:color="auto" w:fill="auto"/>
            <w:vAlign w:val="center"/>
          </w:tcPr>
          <w:p w14:paraId="6EABBE76">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1.充电桩项目以“投标人收益分成比例（%）”作为评审价，以下所述报价均为评审价。</w:t>
            </w:r>
          </w:p>
          <w:p w14:paraId="2BEF9609">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2.基准价：经评审的有效投标人报价中最低报价为基准价。</w:t>
            </w:r>
          </w:p>
          <w:p w14:paraId="297920BC">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3.有效报价等于基准价时：报价得分15分；</w:t>
            </w:r>
          </w:p>
          <w:p w14:paraId="60F76A79">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有效报价高于基准价时：报价得分=基准价/有效报价*15。</w:t>
            </w:r>
          </w:p>
          <w:p w14:paraId="74876C4E">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4.本项最高得15分，最终得分四舍五入保留后2位小数。</w:t>
            </w:r>
          </w:p>
        </w:tc>
        <w:tc>
          <w:tcPr>
            <w:tcW w:w="660" w:type="dxa"/>
            <w:vAlign w:val="center"/>
          </w:tcPr>
          <w:p w14:paraId="2E2B5DF3">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15</w:t>
            </w:r>
          </w:p>
          <w:p w14:paraId="1E97DBFD">
            <w:pPr>
              <w:jc w:val="left"/>
              <w:rPr>
                <w:rFonts w:hint="eastAsia" w:ascii="宋体" w:hAnsi="宋体" w:eastAsia="宋体" w:cs="宋体"/>
                <w:color w:val="auto"/>
                <w:szCs w:val="21"/>
                <w:highlight w:val="none"/>
              </w:rPr>
            </w:pPr>
          </w:p>
        </w:tc>
        <w:tc>
          <w:tcPr>
            <w:tcW w:w="672" w:type="dxa"/>
            <w:vAlign w:val="center"/>
          </w:tcPr>
          <w:p w14:paraId="415AB8E0">
            <w:pPr>
              <w:pStyle w:val="15"/>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highlight w:val="none"/>
                <w:vertAlign w:val="baseline"/>
                <w:lang w:val="en-US" w:eastAsia="zh-CN"/>
              </w:rPr>
            </w:pPr>
          </w:p>
        </w:tc>
      </w:tr>
    </w:tbl>
    <w:p w14:paraId="1E82A24B">
      <w:pPr>
        <w:adjustRightInd w:val="0"/>
        <w:snapToGrid w:val="0"/>
        <w:spacing w:before="158" w:beforeLines="50" w:line="360" w:lineRule="auto"/>
        <w:jc w:val="left"/>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78CD542F">
      <w:pPr>
        <w:tabs>
          <w:tab w:val="left" w:pos="8820"/>
          <w:tab w:val="left" w:pos="9345"/>
          <w:tab w:val="left" w:pos="9765"/>
        </w:tabs>
        <w:adjustRightInd w:val="0"/>
        <w:snapToGrid w:val="0"/>
        <w:spacing w:before="158" w:beforeLines="50" w:line="360" w:lineRule="auto"/>
        <w:ind w:right="384" w:rightChars="183"/>
        <w:jc w:val="center"/>
        <w:outlineLvl w:val="0"/>
        <w:rPr>
          <w:rFonts w:hint="eastAsia" w:ascii="宋体" w:hAnsi="宋体" w:eastAsia="宋体" w:cs="宋体"/>
          <w:b/>
          <w:bCs/>
          <w:color w:val="auto"/>
          <w:sz w:val="32"/>
          <w:szCs w:val="32"/>
          <w:highlight w:val="none"/>
        </w:rPr>
      </w:pPr>
      <w:bookmarkStart w:id="25" w:name="_Toc28587"/>
      <w:bookmarkStart w:id="26" w:name="_Toc13962"/>
      <w:bookmarkStart w:id="27" w:name="_Toc23263"/>
      <w:bookmarkStart w:id="28" w:name="_Toc16516"/>
      <w:bookmarkStart w:id="29" w:name="_Toc27764"/>
      <w:r>
        <w:rPr>
          <w:rFonts w:hint="eastAsia" w:ascii="宋体" w:hAnsi="宋体" w:eastAsia="宋体" w:cs="宋体"/>
          <w:b/>
          <w:bCs/>
          <w:color w:val="auto"/>
          <w:sz w:val="32"/>
          <w:szCs w:val="32"/>
          <w:highlight w:val="none"/>
        </w:rPr>
        <w:t>第四章 合同条款</w:t>
      </w:r>
      <w:bookmarkEnd w:id="25"/>
      <w:bookmarkEnd w:id="26"/>
      <w:bookmarkEnd w:id="27"/>
      <w:bookmarkEnd w:id="28"/>
      <w:bookmarkEnd w:id="29"/>
    </w:p>
    <w:p w14:paraId="65D52709">
      <w:pPr>
        <w:keepNext w:val="0"/>
        <w:keepLines w:val="0"/>
        <w:pageBreakBefore w:val="0"/>
        <w:widowControl/>
        <w:kinsoku/>
        <w:wordWrap/>
        <w:overflowPunct/>
        <w:topLinePunct w:val="0"/>
        <w:autoSpaceDE/>
        <w:autoSpaceDN/>
        <w:bidi w:val="0"/>
        <w:spacing w:line="312" w:lineRule="auto"/>
        <w:jc w:val="center"/>
        <w:textAlignment w:val="auto"/>
        <w:rPr>
          <w:rFonts w:hint="eastAsia" w:ascii="宋体" w:hAnsi="宋体" w:eastAsia="宋体" w:cs="宋体"/>
          <w:b/>
          <w:bCs/>
          <w:color w:val="auto"/>
          <w:kern w:val="0"/>
          <w:sz w:val="30"/>
          <w:szCs w:val="30"/>
          <w:highlight w:val="none"/>
        </w:rPr>
      </w:pPr>
      <w:r>
        <w:rPr>
          <w:rFonts w:hint="eastAsia" w:ascii="宋体" w:hAnsi="宋体" w:eastAsia="宋体" w:cs="宋体"/>
          <w:b/>
          <w:bCs/>
          <w:color w:val="auto"/>
          <w:highlight w:val="none"/>
          <w:lang w:val="en-US" w:eastAsia="zh-CN"/>
        </w:rPr>
        <w:t>（本合同为合同样稿，最终稿以甲方双方协商后确定的为准）</w:t>
      </w:r>
    </w:p>
    <w:p w14:paraId="0C3CE933">
      <w:pPr>
        <w:pageBreakBefore w:val="0"/>
        <w:widowControl w:val="0"/>
        <w:kinsoku/>
        <w:overflowPunct/>
        <w:topLinePunct w:val="0"/>
        <w:autoSpaceDE/>
        <w:autoSpaceDN/>
        <w:bidi w:val="0"/>
        <w:adjustRightInd/>
        <w:snapToGrid/>
        <w:spacing w:line="288" w:lineRule="auto"/>
        <w:jc w:val="center"/>
        <w:textAlignment w:val="auto"/>
        <w:rPr>
          <w:rFonts w:hint="eastAsia" w:ascii="宋体" w:hAnsi="宋体" w:eastAsia="宋体" w:cs="宋体"/>
          <w:b w:val="0"/>
          <w:bCs w:val="0"/>
          <w:color w:val="auto"/>
          <w:sz w:val="30"/>
          <w:szCs w:val="30"/>
          <w:highlight w:val="none"/>
          <w:lang w:val="en-US" w:eastAsia="zh-CN"/>
        </w:rPr>
      </w:pPr>
      <w:r>
        <w:rPr>
          <w:rFonts w:hint="eastAsia" w:ascii="宋体" w:hAnsi="宋体" w:eastAsia="宋体" w:cs="宋体"/>
          <w:b w:val="0"/>
          <w:bCs w:val="0"/>
          <w:color w:val="auto"/>
          <w:sz w:val="30"/>
          <w:szCs w:val="30"/>
          <w:highlight w:val="none"/>
          <w:lang w:val="en-US" w:eastAsia="zh-CN"/>
        </w:rPr>
        <w:t>合同协议书</w:t>
      </w:r>
    </w:p>
    <w:p w14:paraId="2EB875E0">
      <w:pPr>
        <w:keepNext/>
        <w:keepLines/>
        <w:pageBreakBefore w:val="0"/>
        <w:widowControl w:val="0"/>
        <w:kinsoku/>
        <w:wordWrap w:val="0"/>
        <w:overflowPunct/>
        <w:topLinePunct w:val="0"/>
        <w:autoSpaceDE/>
        <w:autoSpaceDN/>
        <w:bidi w:val="0"/>
        <w:adjustRightInd/>
        <w:snapToGrid/>
        <w:spacing w:line="288" w:lineRule="auto"/>
        <w:jc w:val="right"/>
        <w:textAlignment w:val="auto"/>
        <w:outlineLvl w:val="1"/>
        <w:rPr>
          <w:rFonts w:hint="eastAsia" w:ascii="宋体" w:hAnsi="宋体" w:eastAsia="宋体" w:cs="宋体"/>
          <w:b w:val="0"/>
          <w:bCs w:val="0"/>
          <w:color w:val="auto"/>
          <w:kern w:val="2"/>
          <w:sz w:val="21"/>
          <w:szCs w:val="21"/>
          <w:highlight w:val="none"/>
          <w:u w:val="single"/>
          <w:lang w:val="en-US" w:eastAsia="zh-CN" w:bidi="ar-SA"/>
        </w:rPr>
      </w:pPr>
      <w:r>
        <w:rPr>
          <w:rFonts w:hint="eastAsia" w:ascii="宋体" w:hAnsi="宋体" w:eastAsia="宋体" w:cs="宋体"/>
          <w:b w:val="0"/>
          <w:bCs w:val="0"/>
          <w:color w:val="auto"/>
          <w:kern w:val="2"/>
          <w:sz w:val="21"/>
          <w:szCs w:val="21"/>
          <w:highlight w:val="none"/>
          <w:lang w:val="en-US" w:eastAsia="zh-CN" w:bidi="ar-SA"/>
        </w:rPr>
        <w:t>合同编号：</w:t>
      </w:r>
      <w:r>
        <w:rPr>
          <w:rFonts w:hint="eastAsia" w:ascii="宋体" w:hAnsi="宋体" w:eastAsia="宋体" w:cs="宋体"/>
          <w:b w:val="0"/>
          <w:bCs w:val="0"/>
          <w:color w:val="auto"/>
          <w:kern w:val="2"/>
          <w:sz w:val="21"/>
          <w:szCs w:val="21"/>
          <w:highlight w:val="none"/>
          <w:u w:val="single"/>
          <w:lang w:val="en-US" w:eastAsia="zh-CN" w:bidi="ar-SA"/>
        </w:rPr>
        <w:t xml:space="preserve">             </w:t>
      </w:r>
    </w:p>
    <w:p w14:paraId="1CDD4432">
      <w:pPr>
        <w:pageBreakBefore w:val="0"/>
        <w:widowControl w:val="0"/>
        <w:kinsoku/>
        <w:overflowPunct/>
        <w:topLinePunct w:val="0"/>
        <w:autoSpaceDE/>
        <w:autoSpaceDN/>
        <w:bidi w:val="0"/>
        <w:adjustRightInd/>
        <w:snapToGrid/>
        <w:spacing w:line="288" w:lineRule="auto"/>
        <w:textAlignment w:val="auto"/>
        <w:rPr>
          <w:rFonts w:hint="eastAsia" w:ascii="宋体" w:hAnsi="宋体" w:eastAsia="宋体" w:cs="宋体"/>
          <w:b w:val="0"/>
          <w:bCs w:val="0"/>
          <w:color w:val="auto"/>
          <w:sz w:val="21"/>
          <w:szCs w:val="21"/>
          <w:highlight w:val="none"/>
          <w:lang w:val="en-US" w:eastAsia="zh-CN"/>
        </w:rPr>
      </w:pPr>
    </w:p>
    <w:p w14:paraId="47DD8BC5">
      <w:pPr>
        <w:pageBreakBefore w:val="0"/>
        <w:widowControl w:val="0"/>
        <w:kinsoku/>
        <w:overflowPunct/>
        <w:topLinePunct w:val="0"/>
        <w:autoSpaceDE/>
        <w:autoSpaceDN/>
        <w:bidi w:val="0"/>
        <w:adjustRightInd/>
        <w:snapToGrid/>
        <w:spacing w:line="288" w:lineRule="auto"/>
        <w:textAlignment w:val="auto"/>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lang w:val="en-US" w:eastAsia="zh-CN"/>
        </w:rPr>
        <w:t>甲方（全称）：</w:t>
      </w:r>
      <w:r>
        <w:rPr>
          <w:rFonts w:hint="eastAsia" w:ascii="宋体" w:hAnsi="宋体" w:eastAsia="宋体" w:cs="宋体"/>
          <w:b w:val="0"/>
          <w:bCs w:val="0"/>
          <w:color w:val="auto"/>
          <w:sz w:val="21"/>
          <w:szCs w:val="21"/>
          <w:highlight w:val="none"/>
          <w:u w:val="single"/>
          <w:lang w:val="en-US" w:eastAsia="zh-CN"/>
        </w:rPr>
        <w:t xml:space="preserve">长沙融城经济发展集团有限公司 </w:t>
      </w:r>
    </w:p>
    <w:p w14:paraId="75989A5B">
      <w:pPr>
        <w:pageBreakBefore w:val="0"/>
        <w:widowControl w:val="0"/>
        <w:kinsoku/>
        <w:overflowPunct/>
        <w:topLinePunct w:val="0"/>
        <w:autoSpaceDE/>
        <w:autoSpaceDN/>
        <w:bidi w:val="0"/>
        <w:adjustRightInd/>
        <w:snapToGrid/>
        <w:spacing w:line="288" w:lineRule="auto"/>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法定代表人：      </w:t>
      </w:r>
    </w:p>
    <w:p w14:paraId="4F8B07AA">
      <w:pPr>
        <w:pageBreakBefore w:val="0"/>
        <w:widowControl w:val="0"/>
        <w:kinsoku/>
        <w:overflowPunct/>
        <w:topLinePunct w:val="0"/>
        <w:autoSpaceDE/>
        <w:autoSpaceDN/>
        <w:bidi w:val="0"/>
        <w:adjustRightInd/>
        <w:snapToGrid/>
        <w:spacing w:line="288" w:lineRule="auto"/>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通讯地址：</w:t>
      </w:r>
    </w:p>
    <w:p w14:paraId="43027B1D">
      <w:pPr>
        <w:pageBreakBefore w:val="0"/>
        <w:widowControl w:val="0"/>
        <w:kinsoku/>
        <w:overflowPunct/>
        <w:topLinePunct w:val="0"/>
        <w:autoSpaceDE/>
        <w:autoSpaceDN/>
        <w:bidi w:val="0"/>
        <w:adjustRightInd/>
        <w:snapToGrid/>
        <w:spacing w:line="288" w:lineRule="auto"/>
        <w:textAlignment w:val="auto"/>
        <w:rPr>
          <w:rFonts w:hint="eastAsia" w:ascii="宋体" w:hAnsi="宋体" w:eastAsia="宋体" w:cs="宋体"/>
          <w:b w:val="0"/>
          <w:bCs w:val="0"/>
          <w:color w:val="auto"/>
          <w:sz w:val="21"/>
          <w:szCs w:val="21"/>
          <w:highlight w:val="none"/>
          <w:lang w:val="en-US" w:eastAsia="zh-CN"/>
        </w:rPr>
      </w:pPr>
    </w:p>
    <w:p w14:paraId="3E82D2C3">
      <w:pPr>
        <w:pageBreakBefore w:val="0"/>
        <w:widowControl w:val="0"/>
        <w:kinsoku/>
        <w:overflowPunct/>
        <w:topLinePunct w:val="0"/>
        <w:autoSpaceDE/>
        <w:autoSpaceDN/>
        <w:bidi w:val="0"/>
        <w:adjustRightInd/>
        <w:snapToGrid/>
        <w:spacing w:line="288" w:lineRule="auto"/>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乙方（全称）：</w:t>
      </w:r>
      <w:r>
        <w:rPr>
          <w:rFonts w:hint="eastAsia" w:ascii="宋体" w:hAnsi="宋体" w:eastAsia="宋体" w:cs="宋体"/>
          <w:b w:val="0"/>
          <w:bCs w:val="0"/>
          <w:color w:val="auto"/>
          <w:sz w:val="21"/>
          <w:szCs w:val="21"/>
          <w:highlight w:val="none"/>
          <w:u w:val="single"/>
          <w:lang w:val="en-US" w:eastAsia="zh-CN"/>
        </w:rPr>
        <w:t xml:space="preserve">                             </w:t>
      </w:r>
    </w:p>
    <w:p w14:paraId="6555B434">
      <w:pPr>
        <w:pageBreakBefore w:val="0"/>
        <w:widowControl w:val="0"/>
        <w:kinsoku/>
        <w:overflowPunct/>
        <w:topLinePunct w:val="0"/>
        <w:autoSpaceDE/>
        <w:autoSpaceDN/>
        <w:bidi w:val="0"/>
        <w:adjustRightInd/>
        <w:snapToGrid/>
        <w:spacing w:line="288" w:lineRule="auto"/>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法定代表人：      </w:t>
      </w:r>
    </w:p>
    <w:p w14:paraId="1A841A47">
      <w:pPr>
        <w:pageBreakBefore w:val="0"/>
        <w:widowControl w:val="0"/>
        <w:kinsoku/>
        <w:overflowPunct/>
        <w:topLinePunct w:val="0"/>
        <w:autoSpaceDE/>
        <w:autoSpaceDN/>
        <w:bidi w:val="0"/>
        <w:adjustRightInd/>
        <w:snapToGrid/>
        <w:spacing w:line="288" w:lineRule="auto"/>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通讯地址：</w:t>
      </w:r>
    </w:p>
    <w:p w14:paraId="51794258">
      <w:pPr>
        <w:adjustRightInd w:val="0"/>
        <w:snapToGrid w:val="0"/>
        <w:spacing w:line="500" w:lineRule="atLeast"/>
        <w:outlineLvl w:val="9"/>
        <w:rPr>
          <w:rFonts w:hint="eastAsia" w:ascii="宋体" w:hAnsi="宋体" w:eastAsia="宋体" w:cs="宋体"/>
          <w:b w:val="0"/>
          <w:bCs w:val="0"/>
          <w:color w:val="auto"/>
          <w:kern w:val="2"/>
          <w:sz w:val="21"/>
          <w:szCs w:val="21"/>
          <w:highlight w:val="none"/>
          <w:lang w:val="en-US" w:eastAsia="zh-CN" w:bidi="ar-SA"/>
        </w:rPr>
      </w:pPr>
    </w:p>
    <w:p w14:paraId="03D50B57">
      <w:pPr>
        <w:adjustRightInd w:val="0"/>
        <w:snapToGrid w:val="0"/>
        <w:spacing w:line="500" w:lineRule="atLeast"/>
        <w:jc w:val="center"/>
        <w:outlineLvl w:val="9"/>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第一节：总则</w:t>
      </w:r>
    </w:p>
    <w:p w14:paraId="753A490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1.1甲、乙双方根据《中华人民共和国民法典》及相关法律法规的规定，在平等、自愿的基础上，经协商一致，就乙方</w:t>
      </w:r>
      <w:r>
        <w:rPr>
          <w:rFonts w:hint="eastAsia" w:ascii="宋体" w:hAnsi="宋体" w:eastAsia="宋体" w:cs="宋体"/>
          <w:color w:val="auto"/>
          <w:sz w:val="21"/>
          <w:szCs w:val="21"/>
          <w:highlight w:val="none"/>
          <w:lang w:val="en-US" w:eastAsia="zh-CN"/>
        </w:rPr>
        <w:t>使用</w:t>
      </w:r>
      <w:r>
        <w:rPr>
          <w:rFonts w:hint="eastAsia" w:ascii="宋体" w:hAnsi="宋体" w:eastAsia="宋体" w:cs="宋体"/>
          <w:color w:val="auto"/>
          <w:sz w:val="21"/>
          <w:szCs w:val="21"/>
          <w:highlight w:val="none"/>
        </w:rPr>
        <w:t>甲方建筑物</w:t>
      </w:r>
      <w:r>
        <w:rPr>
          <w:rFonts w:hint="eastAsia" w:ascii="宋体" w:hAnsi="宋体" w:eastAsia="宋体" w:cs="宋体"/>
          <w:color w:val="auto"/>
          <w:sz w:val="21"/>
          <w:szCs w:val="21"/>
          <w:highlight w:val="none"/>
          <w:lang w:val="en-US" w:eastAsia="zh-CN"/>
        </w:rPr>
        <w:t>公共区域</w:t>
      </w:r>
      <w:r>
        <w:rPr>
          <w:rFonts w:hint="eastAsia" w:ascii="宋体" w:hAnsi="宋体" w:eastAsia="宋体" w:cs="宋体"/>
          <w:color w:val="auto"/>
          <w:sz w:val="21"/>
          <w:szCs w:val="21"/>
          <w:highlight w:val="none"/>
        </w:rPr>
        <w:t>建设并运营</w:t>
      </w:r>
      <w:r>
        <w:rPr>
          <w:rFonts w:hint="eastAsia" w:ascii="宋体" w:hAnsi="宋体" w:eastAsia="宋体" w:cs="宋体"/>
          <w:color w:val="auto"/>
          <w:sz w:val="21"/>
          <w:szCs w:val="21"/>
          <w:highlight w:val="none"/>
          <w:lang w:val="en-US" w:eastAsia="zh-CN"/>
        </w:rPr>
        <w:t>储能、充电站</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签订本协议，</w:t>
      </w:r>
      <w:r>
        <w:rPr>
          <w:rFonts w:hint="eastAsia" w:ascii="宋体" w:hAnsi="宋体" w:eastAsia="宋体" w:cs="宋体"/>
          <w:color w:val="auto"/>
          <w:sz w:val="21"/>
          <w:szCs w:val="21"/>
          <w:highlight w:val="none"/>
        </w:rPr>
        <w:t>以资双方共同遵守。</w:t>
      </w:r>
    </w:p>
    <w:p w14:paraId="4D8F376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1.2本协议及能源管理协议等签订生效后，乙方负责本项目的前期、建设、运行及维护等工作。</w:t>
      </w:r>
    </w:p>
    <w:p w14:paraId="7186666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1.3甲方</w:t>
      </w:r>
      <w:r>
        <w:rPr>
          <w:rFonts w:hint="eastAsia" w:ascii="宋体" w:hAnsi="宋体" w:eastAsia="宋体" w:cs="宋体"/>
          <w:color w:val="auto"/>
          <w:sz w:val="21"/>
          <w:szCs w:val="21"/>
          <w:highlight w:val="none"/>
          <w:lang w:val="en-US" w:eastAsia="zh-CN"/>
        </w:rPr>
        <w:t>为</w:t>
      </w:r>
      <w:r>
        <w:rPr>
          <w:rFonts w:hint="eastAsia" w:ascii="宋体" w:hAnsi="宋体" w:eastAsia="宋体" w:cs="宋体"/>
          <w:b w:val="0"/>
          <w:bCs w:val="0"/>
          <w:color w:val="auto"/>
          <w:sz w:val="21"/>
          <w:szCs w:val="21"/>
          <w:highlight w:val="none"/>
          <w:lang w:val="en-US" w:eastAsia="zh-CN"/>
        </w:rPr>
        <w:t>湖南大数据交易中心</w:t>
      </w:r>
      <w:r>
        <w:rPr>
          <w:rFonts w:hint="eastAsia" w:ascii="宋体" w:hAnsi="宋体" w:eastAsia="宋体" w:cs="宋体"/>
          <w:color w:val="auto"/>
          <w:sz w:val="21"/>
          <w:szCs w:val="21"/>
          <w:highlight w:val="none"/>
          <w:lang w:val="en-US" w:eastAsia="zh-CN"/>
        </w:rPr>
        <w:t>的产权方，</w:t>
      </w:r>
      <w:r>
        <w:rPr>
          <w:rFonts w:hint="eastAsia" w:ascii="宋体" w:hAnsi="宋体" w:eastAsia="宋体" w:cs="宋体"/>
          <w:color w:val="auto"/>
          <w:sz w:val="21"/>
          <w:szCs w:val="21"/>
          <w:highlight w:val="none"/>
        </w:rPr>
        <w:t>同意乙方</w:t>
      </w:r>
      <w:r>
        <w:rPr>
          <w:rFonts w:hint="eastAsia" w:ascii="宋体" w:hAnsi="宋体" w:eastAsia="宋体" w:cs="宋体"/>
          <w:color w:val="auto"/>
          <w:sz w:val="21"/>
          <w:szCs w:val="21"/>
          <w:highlight w:val="none"/>
          <w:lang w:val="en-US" w:eastAsia="zh-CN"/>
        </w:rPr>
        <w:t>在</w:t>
      </w:r>
      <w:r>
        <w:rPr>
          <w:rFonts w:hint="eastAsia" w:ascii="宋体" w:hAnsi="宋体" w:eastAsia="宋体" w:cs="宋体"/>
          <w:b w:val="0"/>
          <w:bCs w:val="0"/>
          <w:color w:val="auto"/>
          <w:sz w:val="21"/>
          <w:szCs w:val="21"/>
          <w:highlight w:val="none"/>
          <w:lang w:val="en-US" w:eastAsia="zh-CN"/>
        </w:rPr>
        <w:t>湖南大数据交易中心</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lang w:val="en-US" w:eastAsia="zh-CN"/>
        </w:rPr>
        <w:t>公共区域</w:t>
      </w:r>
      <w:r>
        <w:rPr>
          <w:rFonts w:hint="eastAsia" w:ascii="宋体" w:hAnsi="宋体" w:eastAsia="宋体" w:cs="宋体"/>
          <w:color w:val="auto"/>
          <w:sz w:val="21"/>
          <w:szCs w:val="21"/>
          <w:highlight w:val="none"/>
        </w:rPr>
        <w:t>用于</w:t>
      </w:r>
      <w:r>
        <w:rPr>
          <w:rFonts w:hint="eastAsia" w:ascii="宋体" w:hAnsi="宋体" w:eastAsia="宋体" w:cs="宋体"/>
          <w:color w:val="auto"/>
          <w:sz w:val="21"/>
          <w:szCs w:val="21"/>
          <w:highlight w:val="none"/>
          <w:lang w:val="en-US" w:eastAsia="zh-CN"/>
        </w:rPr>
        <w:t>储能系统和充电站项目的建设（以下简称为“项目”）</w:t>
      </w:r>
      <w:r>
        <w:rPr>
          <w:rFonts w:hint="eastAsia" w:ascii="宋体" w:hAnsi="宋体" w:eastAsia="宋体" w:cs="宋体"/>
          <w:color w:val="auto"/>
          <w:sz w:val="21"/>
          <w:szCs w:val="21"/>
          <w:highlight w:val="none"/>
        </w:rPr>
        <w:t>，</w:t>
      </w:r>
      <w:r>
        <w:rPr>
          <w:rFonts w:hint="eastAsia" w:ascii="宋体" w:hAnsi="宋体" w:eastAsia="宋体" w:cs="宋体"/>
          <w:color w:val="auto"/>
          <w:spacing w:val="0"/>
          <w:sz w:val="21"/>
          <w:szCs w:val="21"/>
          <w:highlight w:val="none"/>
        </w:rPr>
        <w:t>项目运营期限为2</w:t>
      </w:r>
      <w:r>
        <w:rPr>
          <w:rFonts w:hint="eastAsia" w:ascii="宋体" w:hAnsi="宋体" w:eastAsia="宋体" w:cs="宋体"/>
          <w:color w:val="auto"/>
          <w:spacing w:val="0"/>
          <w:sz w:val="21"/>
          <w:szCs w:val="21"/>
          <w:highlight w:val="none"/>
          <w:lang w:val="en-US" w:eastAsia="zh-CN"/>
        </w:rPr>
        <w:t>0</w:t>
      </w:r>
      <w:r>
        <w:rPr>
          <w:rFonts w:hint="eastAsia" w:ascii="宋体" w:hAnsi="宋体" w:eastAsia="宋体" w:cs="宋体"/>
          <w:color w:val="auto"/>
          <w:spacing w:val="0"/>
          <w:sz w:val="21"/>
          <w:szCs w:val="21"/>
          <w:highlight w:val="none"/>
        </w:rPr>
        <w:t>年，自项目建成并网之日起算(以下称“运营期限”)</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lang w:val="en-US" w:eastAsia="zh-CN"/>
        </w:rPr>
        <w:t>本合同约定场地</w:t>
      </w:r>
      <w:r>
        <w:rPr>
          <w:rFonts w:hint="eastAsia" w:ascii="宋体" w:hAnsi="宋体" w:eastAsia="宋体" w:cs="宋体"/>
          <w:color w:val="auto"/>
          <w:sz w:val="21"/>
          <w:szCs w:val="21"/>
          <w:highlight w:val="none"/>
          <w:lang w:eastAsia="zh-CN"/>
        </w:rPr>
        <w:t>使用</w:t>
      </w:r>
      <w:r>
        <w:rPr>
          <w:rFonts w:hint="eastAsia" w:ascii="宋体" w:hAnsi="宋体" w:eastAsia="宋体" w:cs="宋体"/>
          <w:color w:val="auto"/>
          <w:sz w:val="21"/>
          <w:szCs w:val="21"/>
          <w:highlight w:val="none"/>
        </w:rPr>
        <w:t>期限</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，暂定为</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日-20</w:t>
      </w:r>
      <w:r>
        <w:rPr>
          <w:rFonts w:hint="eastAsia" w:ascii="宋体" w:hAnsi="宋体" w:eastAsia="宋体" w:cs="宋体"/>
          <w:color w:val="auto"/>
          <w:sz w:val="21"/>
          <w:szCs w:val="21"/>
          <w:highlight w:val="none"/>
          <w:lang w:val="en-US" w:eastAsia="zh-CN"/>
        </w:rPr>
        <w:t>35</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，使用起始日</w:t>
      </w:r>
      <w:r>
        <w:rPr>
          <w:rFonts w:hint="eastAsia" w:ascii="宋体" w:hAnsi="宋体" w:eastAsia="宋体" w:cs="宋体"/>
          <w:color w:val="auto"/>
          <w:sz w:val="21"/>
          <w:szCs w:val="21"/>
          <w:highlight w:val="none"/>
        </w:rPr>
        <w:t>最终以</w:t>
      </w:r>
      <w:r>
        <w:rPr>
          <w:rFonts w:hint="eastAsia" w:ascii="宋体" w:hAnsi="宋体" w:eastAsia="宋体" w:cs="宋体"/>
          <w:color w:val="auto"/>
          <w:sz w:val="21"/>
          <w:szCs w:val="21"/>
          <w:highlight w:val="none"/>
          <w:lang w:val="en-US" w:eastAsia="zh-CN"/>
        </w:rPr>
        <w:t>场地</w:t>
      </w:r>
      <w:r>
        <w:rPr>
          <w:rFonts w:hint="eastAsia" w:ascii="宋体" w:hAnsi="宋体" w:eastAsia="宋体" w:cs="宋体"/>
          <w:color w:val="auto"/>
          <w:sz w:val="21"/>
          <w:szCs w:val="21"/>
          <w:highlight w:val="none"/>
        </w:rPr>
        <w:t>交接书签字日期为准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本合同期限到期后，双方根据项目实际运营情况协商续签事宜</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甲方产权移交的，甲方积极支持配合承接方进行项目运营续签及继续使用场地，具体以产权方实际续签协议为准。</w:t>
      </w:r>
    </w:p>
    <w:p w14:paraId="4F402529">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第二节：项目名称、内容和目标</w:t>
      </w:r>
    </w:p>
    <w:p w14:paraId="42C4D00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2.1项目名称</w:t>
      </w:r>
      <w:r>
        <w:rPr>
          <w:rFonts w:hint="eastAsia" w:ascii="宋体" w:hAnsi="宋体" w:eastAsia="宋体" w:cs="宋体"/>
          <w:color w:val="auto"/>
          <w:sz w:val="21"/>
          <w:szCs w:val="21"/>
          <w:highlight w:val="none"/>
          <w:u w:val="none"/>
          <w:lang w:eastAsia="zh-CN"/>
        </w:rPr>
        <w:t>：湖南大数据交易所储能、充电桩项目运营服务</w:t>
      </w:r>
      <w:r>
        <w:rPr>
          <w:rFonts w:hint="eastAsia" w:ascii="宋体" w:hAnsi="宋体" w:eastAsia="宋体" w:cs="宋体"/>
          <w:color w:val="auto"/>
          <w:sz w:val="21"/>
          <w:szCs w:val="21"/>
          <w:highlight w:val="none"/>
          <w:u w:val="none"/>
          <w:lang w:val="en-US" w:eastAsia="zh-CN"/>
        </w:rPr>
        <w:t>项目</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rPr>
        <w:t>以下简称“项目”)。</w:t>
      </w:r>
    </w:p>
    <w:p w14:paraId="5C352C5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2.2项目内容：</w:t>
      </w:r>
    </w:p>
    <w:p w14:paraId="1E4CD5D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2.3项目目标：</w:t>
      </w:r>
    </w:p>
    <w:p w14:paraId="437C01E3">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第三节：商业模式</w:t>
      </w:r>
    </w:p>
    <w:p w14:paraId="11E4E38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z w:val="21"/>
          <w:szCs w:val="21"/>
          <w:highlight w:val="none"/>
        </w:rPr>
        <w:t>3.1</w:t>
      </w:r>
      <w:r>
        <w:rPr>
          <w:rFonts w:hint="eastAsia" w:ascii="宋体" w:hAnsi="宋体" w:eastAsia="宋体" w:cs="宋体"/>
          <w:color w:val="auto"/>
          <w:spacing w:val="0"/>
          <w:sz w:val="21"/>
          <w:szCs w:val="21"/>
          <w:highlight w:val="none"/>
          <w:lang w:eastAsia="zh-CN"/>
        </w:rPr>
        <w:t>按照平等协商、利益共享原则，</w:t>
      </w:r>
      <w:r>
        <w:rPr>
          <w:rFonts w:hint="eastAsia" w:ascii="宋体" w:hAnsi="宋体" w:eastAsia="宋体" w:cs="宋体"/>
          <w:color w:val="auto"/>
          <w:spacing w:val="0"/>
          <w:sz w:val="21"/>
          <w:szCs w:val="21"/>
          <w:highlight w:val="none"/>
        </w:rPr>
        <w:t>项目</w:t>
      </w:r>
      <w:r>
        <w:rPr>
          <w:rFonts w:hint="eastAsia" w:ascii="宋体" w:hAnsi="宋体" w:eastAsia="宋体" w:cs="宋体"/>
          <w:color w:val="auto"/>
          <w:spacing w:val="0"/>
          <w:sz w:val="21"/>
          <w:szCs w:val="21"/>
          <w:highlight w:val="none"/>
          <w:lang w:val="en-US" w:eastAsia="zh-CN"/>
        </w:rPr>
        <w:t>储能</w:t>
      </w:r>
      <w:r>
        <w:rPr>
          <w:rFonts w:hint="eastAsia" w:ascii="宋体" w:hAnsi="宋体" w:eastAsia="宋体" w:cs="宋体"/>
          <w:color w:val="auto"/>
          <w:spacing w:val="0"/>
          <w:sz w:val="21"/>
          <w:szCs w:val="21"/>
          <w:highlight w:val="none"/>
        </w:rPr>
        <w:t>电能优先供给甲方使用</w:t>
      </w:r>
      <w:r>
        <w:rPr>
          <w:rFonts w:hint="eastAsia" w:ascii="宋体" w:hAnsi="宋体" w:eastAsia="宋体" w:cs="宋体"/>
          <w:color w:val="auto"/>
          <w:spacing w:val="0"/>
          <w:sz w:val="21"/>
          <w:szCs w:val="21"/>
          <w:highlight w:val="none"/>
          <w:lang w:val="en-US" w:eastAsia="zh-CN"/>
        </w:rPr>
        <w:t>消纳</w:t>
      </w:r>
      <w:r>
        <w:rPr>
          <w:rFonts w:hint="eastAsia" w:ascii="宋体" w:hAnsi="宋体" w:eastAsia="宋体" w:cs="宋体"/>
          <w:color w:val="auto"/>
          <w:spacing w:val="0"/>
          <w:sz w:val="21"/>
          <w:szCs w:val="21"/>
          <w:highlight w:val="none"/>
        </w:rPr>
        <w:t>，剩余电能接入公共电网</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lang w:val="en-US" w:eastAsia="zh-CN"/>
        </w:rPr>
        <w:t>充电站采取服务费分润合作方式</w:t>
      </w:r>
      <w:r>
        <w:rPr>
          <w:rFonts w:hint="eastAsia" w:ascii="宋体" w:hAnsi="宋体" w:eastAsia="宋体" w:cs="宋体"/>
          <w:color w:val="auto"/>
          <w:spacing w:val="0"/>
          <w:sz w:val="21"/>
          <w:szCs w:val="21"/>
          <w:highlight w:val="none"/>
          <w:lang w:eastAsia="zh-CN"/>
        </w:rPr>
        <w:t>。</w:t>
      </w:r>
    </w:p>
    <w:p w14:paraId="4DC437F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3.2</w:t>
      </w:r>
      <w:r>
        <w:rPr>
          <w:rFonts w:hint="eastAsia" w:ascii="宋体" w:hAnsi="宋体" w:eastAsia="宋体" w:cs="宋体"/>
          <w:color w:val="auto"/>
          <w:sz w:val="21"/>
          <w:szCs w:val="21"/>
          <w:highlight w:val="none"/>
        </w:rPr>
        <w:t>乙方负责项目全部投资，含建设期间的设计、设备采购、安装、调试、验收等费用与运营期间的运行、管理、维护等费用，</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拥有项目</w:t>
      </w:r>
      <w:r>
        <w:rPr>
          <w:rFonts w:hint="eastAsia" w:ascii="宋体" w:hAnsi="宋体" w:eastAsia="宋体" w:cs="宋体"/>
          <w:color w:val="auto"/>
          <w:sz w:val="21"/>
          <w:szCs w:val="21"/>
          <w:highlight w:val="none"/>
          <w:lang w:val="en-US" w:eastAsia="zh-CN"/>
        </w:rPr>
        <w:t>设备资产</w:t>
      </w:r>
      <w:r>
        <w:rPr>
          <w:rFonts w:hint="eastAsia" w:ascii="宋体" w:hAnsi="宋体" w:eastAsia="宋体" w:cs="宋体"/>
          <w:color w:val="auto"/>
          <w:sz w:val="21"/>
          <w:szCs w:val="21"/>
          <w:highlight w:val="none"/>
        </w:rPr>
        <w:t>所有权，并作为享受国家各级政府部门项目补贴的主体。</w:t>
      </w:r>
      <w:r>
        <w:rPr>
          <w:rFonts w:hint="eastAsia" w:ascii="宋体" w:hAnsi="宋体" w:eastAsia="宋体" w:cs="宋体"/>
          <w:color w:val="auto"/>
          <w:sz w:val="21"/>
          <w:szCs w:val="21"/>
          <w:highlight w:val="none"/>
          <w:lang w:eastAsia="zh-CN"/>
        </w:rPr>
        <w:t>本协议签订后    月内，双方办理场地移交，场地移交后   月内，乙方完成建设。并在   年   月   日前双方办理完成项目验收并正式投入运营。乙方的设计、建设等均应当符合国家法律法规政策要求和规范，否则甲方有权要求乙方随时停止建设运营，无条件解除合同，并承担一切责任。</w:t>
      </w:r>
    </w:p>
    <w:p w14:paraId="2D50ABDF">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pacing w:val="0"/>
          <w:w w:val="100"/>
          <w:sz w:val="21"/>
          <w:szCs w:val="21"/>
          <w:highlight w:val="none"/>
          <w:lang w:val="en-US" w:eastAsia="zh-CN"/>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pacing w:val="0"/>
          <w:w w:val="100"/>
          <w:sz w:val="21"/>
          <w:szCs w:val="21"/>
          <w:highlight w:val="none"/>
          <w:lang w:val="en-US" w:eastAsia="zh-CN"/>
        </w:rPr>
        <w:t xml:space="preserve"> </w:t>
      </w:r>
      <w:r>
        <w:rPr>
          <w:rFonts w:hint="eastAsia" w:ascii="宋体" w:hAnsi="宋体" w:eastAsia="宋体" w:cs="宋体"/>
          <w:b/>
          <w:bCs/>
          <w:color w:val="auto"/>
          <w:spacing w:val="0"/>
          <w:w w:val="100"/>
          <w:sz w:val="21"/>
          <w:szCs w:val="21"/>
          <w:highlight w:val="none"/>
        </w:rPr>
        <w:t>本项目</w:t>
      </w:r>
      <w:r>
        <w:rPr>
          <w:rFonts w:hint="eastAsia" w:ascii="宋体" w:hAnsi="宋体" w:eastAsia="宋体" w:cs="宋体"/>
          <w:b/>
          <w:bCs/>
          <w:color w:val="auto"/>
          <w:spacing w:val="0"/>
          <w:w w:val="100"/>
          <w:sz w:val="21"/>
          <w:szCs w:val="21"/>
          <w:highlight w:val="none"/>
          <w:lang w:val="en-US" w:eastAsia="zh-CN"/>
        </w:rPr>
        <w:t>储能系统</w:t>
      </w:r>
      <w:r>
        <w:rPr>
          <w:rFonts w:hint="eastAsia" w:ascii="宋体" w:hAnsi="宋体" w:eastAsia="宋体" w:cs="宋体"/>
          <w:b/>
          <w:bCs/>
          <w:color w:val="auto"/>
          <w:spacing w:val="0"/>
          <w:w w:val="100"/>
          <w:sz w:val="21"/>
          <w:szCs w:val="21"/>
          <w:highlight w:val="none"/>
        </w:rPr>
        <w:t>放电电量、收入</w:t>
      </w:r>
      <w:r>
        <w:rPr>
          <w:rFonts w:hint="eastAsia" w:ascii="宋体" w:hAnsi="宋体" w:eastAsia="宋体" w:cs="宋体"/>
          <w:b/>
          <w:bCs/>
          <w:color w:val="auto"/>
          <w:spacing w:val="0"/>
          <w:w w:val="100"/>
          <w:sz w:val="21"/>
          <w:szCs w:val="21"/>
          <w:highlight w:val="none"/>
          <w:lang w:val="en-US" w:eastAsia="zh-CN"/>
        </w:rPr>
        <w:t>及结算方式</w:t>
      </w:r>
    </w:p>
    <w:p w14:paraId="5F0C25D6">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pacing w:val="0"/>
          <w:w w:val="100"/>
          <w:sz w:val="21"/>
          <w:szCs w:val="21"/>
          <w:highlight w:val="none"/>
        </w:rPr>
      </w:pPr>
      <w:r>
        <w:rPr>
          <w:rFonts w:hint="eastAsia" w:ascii="宋体" w:hAnsi="宋体" w:eastAsia="宋体" w:cs="宋体"/>
          <w:color w:val="auto"/>
          <w:spacing w:val="0"/>
          <w:w w:val="100"/>
          <w:sz w:val="21"/>
          <w:szCs w:val="21"/>
          <w:highlight w:val="none"/>
          <w:lang w:val="en-US" w:eastAsia="zh-CN"/>
        </w:rPr>
        <w:t>3.3.1</w:t>
      </w:r>
      <w:r>
        <w:rPr>
          <w:rFonts w:hint="eastAsia" w:ascii="宋体" w:hAnsi="宋体" w:eastAsia="宋体" w:cs="宋体"/>
          <w:color w:val="auto"/>
          <w:spacing w:val="0"/>
          <w:w w:val="100"/>
          <w:sz w:val="21"/>
          <w:szCs w:val="21"/>
          <w:highlight w:val="none"/>
        </w:rPr>
        <w:t>月放电电量=月度尖段放电度数+月度峰段放电度数+月度平段放电度数+月度谷段放电度数；</w:t>
      </w:r>
    </w:p>
    <w:p w14:paraId="0B76476B">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pacing w:val="0"/>
          <w:w w:val="100"/>
          <w:sz w:val="21"/>
          <w:szCs w:val="21"/>
          <w:highlight w:val="none"/>
        </w:rPr>
      </w:pPr>
      <w:r>
        <w:rPr>
          <w:rFonts w:hint="eastAsia" w:ascii="宋体" w:hAnsi="宋体" w:eastAsia="宋体" w:cs="宋体"/>
          <w:b w:val="0"/>
          <w:bCs w:val="0"/>
          <w:color w:val="auto"/>
          <w:spacing w:val="0"/>
          <w:w w:val="100"/>
          <w:sz w:val="21"/>
          <w:szCs w:val="21"/>
          <w:highlight w:val="none"/>
        </w:rPr>
        <w:t>储能电站月放电收入</w:t>
      </w:r>
      <w:r>
        <w:rPr>
          <w:rFonts w:hint="eastAsia" w:ascii="宋体" w:hAnsi="宋体" w:eastAsia="宋体" w:cs="宋体"/>
          <w:color w:val="auto"/>
          <w:spacing w:val="0"/>
          <w:w w:val="100"/>
          <w:sz w:val="21"/>
          <w:szCs w:val="21"/>
          <w:highlight w:val="none"/>
        </w:rPr>
        <w:t>=月度尖段放电度数x尖段单位电价+月度峰段放电度数x峰段单位电价+月度平段放电度数x平段单位电价+月度谷段放电度数x谷段单位电价。</w:t>
      </w:r>
    </w:p>
    <w:p w14:paraId="76582443">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pacing w:val="0"/>
          <w:w w:val="100"/>
          <w:sz w:val="21"/>
          <w:szCs w:val="21"/>
          <w:highlight w:val="none"/>
        </w:rPr>
      </w:pPr>
      <w:r>
        <w:rPr>
          <w:rFonts w:hint="eastAsia" w:ascii="宋体" w:hAnsi="宋体" w:eastAsia="宋体" w:cs="宋体"/>
          <w:color w:val="auto"/>
          <w:spacing w:val="0"/>
          <w:w w:val="100"/>
          <w:kern w:val="2"/>
          <w:sz w:val="21"/>
          <w:szCs w:val="21"/>
          <w:highlight w:val="none"/>
          <w:lang w:val="en-US" w:eastAsia="zh-CN" w:bidi="ar-SA"/>
        </w:rPr>
        <w:t>3.3.2</w:t>
      </w:r>
      <w:r>
        <w:rPr>
          <w:rFonts w:hint="eastAsia" w:ascii="宋体" w:hAnsi="宋体" w:eastAsia="宋体" w:cs="宋体"/>
          <w:color w:val="auto"/>
          <w:spacing w:val="0"/>
          <w:w w:val="100"/>
          <w:sz w:val="21"/>
          <w:szCs w:val="21"/>
          <w:highlight w:val="none"/>
        </w:rPr>
        <w:t>本项目充电电量、支出</w:t>
      </w:r>
    </w:p>
    <w:p w14:paraId="0936CF27">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pacing w:val="0"/>
          <w:w w:val="100"/>
          <w:sz w:val="21"/>
          <w:szCs w:val="21"/>
          <w:highlight w:val="none"/>
        </w:rPr>
      </w:pPr>
      <w:r>
        <w:rPr>
          <w:rFonts w:hint="eastAsia" w:ascii="宋体" w:hAnsi="宋体" w:eastAsia="宋体" w:cs="宋体"/>
          <w:color w:val="auto"/>
          <w:spacing w:val="0"/>
          <w:w w:val="100"/>
          <w:sz w:val="21"/>
          <w:szCs w:val="21"/>
          <w:highlight w:val="none"/>
        </w:rPr>
        <w:t>月充电电量=月度谷段充电电量度数+月度平段放电度数+月度峰段充电电量度数+月度尖段充电电量度数；</w:t>
      </w:r>
    </w:p>
    <w:p w14:paraId="323B2A7B">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pacing w:val="0"/>
          <w:w w:val="100"/>
          <w:sz w:val="21"/>
          <w:szCs w:val="21"/>
          <w:highlight w:val="none"/>
        </w:rPr>
      </w:pPr>
      <w:r>
        <w:rPr>
          <w:rFonts w:hint="eastAsia" w:ascii="宋体" w:hAnsi="宋体" w:eastAsia="宋体" w:cs="宋体"/>
          <w:b w:val="0"/>
          <w:bCs w:val="0"/>
          <w:color w:val="auto"/>
          <w:spacing w:val="0"/>
          <w:w w:val="100"/>
          <w:sz w:val="21"/>
          <w:szCs w:val="21"/>
          <w:highlight w:val="none"/>
        </w:rPr>
        <w:t>储能系统月充电支出</w:t>
      </w:r>
      <w:r>
        <w:rPr>
          <w:rFonts w:hint="eastAsia" w:ascii="宋体" w:hAnsi="宋体" w:eastAsia="宋体" w:cs="宋体"/>
          <w:color w:val="auto"/>
          <w:spacing w:val="0"/>
          <w:w w:val="100"/>
          <w:sz w:val="21"/>
          <w:szCs w:val="21"/>
          <w:highlight w:val="none"/>
        </w:rPr>
        <w:t>=月度谷段充电度数x谷段单位电价+月度平段充电度数x平段单位电价+月度峰段充电度数x峰段单位电价+月度尖段充电度数x尖段单位电价。</w:t>
      </w:r>
    </w:p>
    <w:p w14:paraId="0F5DB82D">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pacing w:val="0"/>
          <w:w w:val="100"/>
          <w:sz w:val="21"/>
          <w:szCs w:val="21"/>
          <w:highlight w:val="none"/>
        </w:rPr>
      </w:pPr>
      <w:r>
        <w:rPr>
          <w:rFonts w:hint="eastAsia" w:ascii="宋体" w:hAnsi="宋体" w:eastAsia="宋体" w:cs="宋体"/>
          <w:color w:val="auto"/>
          <w:spacing w:val="0"/>
          <w:w w:val="100"/>
          <w:kern w:val="2"/>
          <w:sz w:val="21"/>
          <w:szCs w:val="21"/>
          <w:highlight w:val="none"/>
          <w:lang w:val="en-US" w:eastAsia="zh-CN" w:bidi="ar-SA"/>
        </w:rPr>
        <w:t>3.3.3</w:t>
      </w:r>
      <w:r>
        <w:rPr>
          <w:rFonts w:hint="eastAsia" w:ascii="宋体" w:hAnsi="宋体" w:eastAsia="宋体" w:cs="宋体"/>
          <w:color w:val="auto"/>
          <w:spacing w:val="0"/>
          <w:w w:val="100"/>
          <w:sz w:val="21"/>
          <w:szCs w:val="21"/>
          <w:highlight w:val="none"/>
        </w:rPr>
        <w:t>月度节约电费收益计算公式</w:t>
      </w:r>
    </w:p>
    <w:p w14:paraId="33C7EE8C">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pacing w:val="0"/>
          <w:w w:val="100"/>
          <w:sz w:val="21"/>
          <w:szCs w:val="21"/>
          <w:highlight w:val="none"/>
        </w:rPr>
      </w:pPr>
      <w:r>
        <w:rPr>
          <w:rFonts w:hint="eastAsia" w:ascii="宋体" w:hAnsi="宋体" w:eastAsia="宋体" w:cs="宋体"/>
          <w:color w:val="auto"/>
          <w:spacing w:val="0"/>
          <w:w w:val="100"/>
          <w:sz w:val="21"/>
          <w:szCs w:val="21"/>
          <w:highlight w:val="none"/>
        </w:rPr>
        <w:t>甲方</w:t>
      </w:r>
      <w:r>
        <w:rPr>
          <w:rFonts w:hint="eastAsia" w:ascii="宋体" w:hAnsi="宋体" w:eastAsia="宋体" w:cs="宋体"/>
          <w:color w:val="auto"/>
          <w:spacing w:val="0"/>
          <w:w w:val="100"/>
          <w:sz w:val="21"/>
          <w:szCs w:val="21"/>
          <w:highlight w:val="none"/>
          <w:lang w:val="en-US" w:eastAsia="zh-CN"/>
        </w:rPr>
        <w:t>享有</w:t>
      </w:r>
      <w:r>
        <w:rPr>
          <w:rFonts w:hint="eastAsia" w:ascii="宋体" w:hAnsi="宋体" w:eastAsia="宋体" w:cs="宋体"/>
          <w:color w:val="auto"/>
          <w:spacing w:val="0"/>
          <w:w w:val="100"/>
          <w:sz w:val="21"/>
          <w:szCs w:val="21"/>
          <w:highlight w:val="none"/>
        </w:rPr>
        <w:t>的月节约电费收益＝（储能系统月放电收入-储能系统月充电支出）*</w:t>
      </w:r>
      <w:r>
        <w:rPr>
          <w:rFonts w:hint="eastAsia" w:ascii="宋体" w:hAnsi="宋体" w:eastAsia="宋体" w:cs="宋体"/>
          <w:color w:val="auto"/>
          <w:spacing w:val="0"/>
          <w:w w:val="100"/>
          <w:sz w:val="21"/>
          <w:szCs w:val="21"/>
          <w:highlight w:val="none"/>
          <w:lang w:eastAsia="zh-CN"/>
        </w:rPr>
        <w:t>【</w:t>
      </w:r>
      <w:r>
        <w:rPr>
          <w:rFonts w:hint="eastAsia" w:ascii="宋体" w:hAnsi="宋体" w:eastAsia="宋体" w:cs="宋体"/>
          <w:color w:val="auto"/>
          <w:spacing w:val="0"/>
          <w:w w:val="100"/>
          <w:sz w:val="21"/>
          <w:szCs w:val="21"/>
          <w:highlight w:val="none"/>
          <w:lang w:val="en-US" w:eastAsia="zh-CN"/>
        </w:rPr>
        <w:t xml:space="preserve"> </w:t>
      </w:r>
      <w:r>
        <w:rPr>
          <w:rFonts w:hint="eastAsia" w:ascii="宋体" w:hAnsi="宋体" w:eastAsia="宋体" w:cs="宋体"/>
          <w:color w:val="auto"/>
          <w:spacing w:val="0"/>
          <w:w w:val="100"/>
          <w:sz w:val="21"/>
          <w:szCs w:val="21"/>
          <w:highlight w:val="none"/>
          <w:lang w:eastAsia="zh-CN"/>
        </w:rPr>
        <w:t>】</w:t>
      </w:r>
      <w:r>
        <w:rPr>
          <w:rFonts w:hint="eastAsia" w:ascii="宋体" w:hAnsi="宋体" w:eastAsia="宋体" w:cs="宋体"/>
          <w:color w:val="auto"/>
          <w:spacing w:val="0"/>
          <w:w w:val="100"/>
          <w:sz w:val="21"/>
          <w:szCs w:val="21"/>
          <w:highlight w:val="none"/>
        </w:rPr>
        <w:t>%；</w:t>
      </w:r>
    </w:p>
    <w:p w14:paraId="61D3ACE7">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lang w:val="en-US" w:eastAsia="zh-CN"/>
        </w:rPr>
        <w:t>3.3.4</w:t>
      </w:r>
      <w:r>
        <w:rPr>
          <w:rFonts w:hint="eastAsia" w:ascii="宋体" w:hAnsi="宋体" w:eastAsia="宋体" w:cs="宋体"/>
          <w:color w:val="auto"/>
          <w:sz w:val="21"/>
          <w:szCs w:val="21"/>
          <w:highlight w:val="none"/>
          <w:lang w:val="en-US" w:eastAsia="zh-CN"/>
        </w:rPr>
        <w:t>双方按季度核算储能收益电量，</w:t>
      </w:r>
      <w:r>
        <w:rPr>
          <w:rFonts w:hint="eastAsia" w:ascii="宋体" w:hAnsi="宋体" w:eastAsia="宋体" w:cs="宋体"/>
          <w:color w:val="auto"/>
          <w:sz w:val="21"/>
          <w:szCs w:val="21"/>
          <w:highlight w:val="none"/>
        </w:rPr>
        <w:t>乙方应得本项目节约电费收益由甲方定期按以下方式支付给乙方：甲乙双方应自本项目验收合格且第一次放电之日起，每</w:t>
      </w:r>
      <w:r>
        <w:rPr>
          <w:rFonts w:hint="eastAsia" w:ascii="宋体" w:hAnsi="宋体" w:eastAsia="宋体" w:cs="宋体"/>
          <w:color w:val="auto"/>
          <w:sz w:val="21"/>
          <w:szCs w:val="21"/>
          <w:highlight w:val="none"/>
          <w:lang w:eastAsia="zh-CN"/>
        </w:rPr>
        <w:t>季度</w:t>
      </w:r>
      <w:r>
        <w:rPr>
          <w:rFonts w:hint="eastAsia" w:ascii="宋体" w:hAnsi="宋体" w:eastAsia="宋体" w:cs="宋体"/>
          <w:color w:val="auto"/>
          <w:sz w:val="21"/>
          <w:szCs w:val="21"/>
          <w:highlight w:val="none"/>
        </w:rPr>
        <w:t>结算一次项目放电产生的电费收益。按第</w:t>
      </w:r>
      <w:r>
        <w:rPr>
          <w:rFonts w:hint="eastAsia" w:ascii="宋体" w:hAnsi="宋体" w:eastAsia="宋体" w:cs="宋体"/>
          <w:color w:val="auto"/>
          <w:sz w:val="21"/>
          <w:szCs w:val="21"/>
          <w:highlight w:val="none"/>
          <w:lang w:val="en-US" w:eastAsia="zh-CN"/>
        </w:rPr>
        <w:t>3.3.3</w:t>
      </w:r>
      <w:r>
        <w:rPr>
          <w:rFonts w:hint="eastAsia" w:ascii="宋体" w:hAnsi="宋体" w:eastAsia="宋体" w:cs="宋体"/>
          <w:color w:val="auto"/>
          <w:sz w:val="21"/>
          <w:szCs w:val="21"/>
          <w:highlight w:val="none"/>
        </w:rPr>
        <w:t>条约定计算，乙方</w:t>
      </w:r>
      <w:r>
        <w:rPr>
          <w:rFonts w:hint="eastAsia" w:ascii="宋体" w:hAnsi="宋体" w:eastAsia="宋体" w:cs="宋体"/>
          <w:color w:val="auto"/>
          <w:sz w:val="21"/>
          <w:szCs w:val="21"/>
          <w:highlight w:val="none"/>
          <w:lang w:eastAsia="zh-CN"/>
        </w:rPr>
        <w:t>每季度首月</w:t>
      </w:r>
      <w:r>
        <w:rPr>
          <w:rFonts w:hint="eastAsia" w:ascii="宋体" w:hAnsi="宋体" w:eastAsia="宋体" w:cs="宋体"/>
          <w:color w:val="auto"/>
          <w:spacing w:val="0"/>
          <w:sz w:val="21"/>
          <w:szCs w:val="21"/>
          <w:highlight w:val="none"/>
          <w:u w:val="none"/>
          <w:lang w:val="en-US"/>
        </w:rPr>
        <w:t>【</w:t>
      </w:r>
      <w:r>
        <w:rPr>
          <w:rFonts w:hint="eastAsia" w:ascii="宋体" w:hAnsi="宋体" w:eastAsia="宋体" w:cs="宋体"/>
          <w:color w:val="auto"/>
          <w:spacing w:val="0"/>
          <w:sz w:val="21"/>
          <w:szCs w:val="21"/>
          <w:highlight w:val="none"/>
          <w:u w:val="none"/>
          <w:lang w:val="en-US" w:eastAsia="zh-CN"/>
        </w:rPr>
        <w:t>7</w:t>
      </w:r>
      <w:r>
        <w:rPr>
          <w:rFonts w:hint="eastAsia" w:ascii="宋体" w:hAnsi="宋体" w:eastAsia="宋体" w:cs="宋体"/>
          <w:color w:val="auto"/>
          <w:spacing w:val="0"/>
          <w:sz w:val="21"/>
          <w:szCs w:val="21"/>
          <w:highlight w:val="none"/>
          <w:u w:val="none"/>
          <w:lang w:val="en-US"/>
        </w:rPr>
        <w:t>】</w:t>
      </w:r>
      <w:r>
        <w:rPr>
          <w:rFonts w:hint="eastAsia" w:ascii="宋体" w:hAnsi="宋体" w:eastAsia="宋体" w:cs="宋体"/>
          <w:color w:val="auto"/>
          <w:sz w:val="21"/>
          <w:szCs w:val="21"/>
          <w:highlight w:val="none"/>
        </w:rPr>
        <w:t>日前开具</w:t>
      </w:r>
      <w:r>
        <w:rPr>
          <w:rFonts w:hint="eastAsia" w:ascii="宋体" w:hAnsi="宋体" w:eastAsia="宋体" w:cs="宋体"/>
          <w:color w:val="auto"/>
          <w:sz w:val="21"/>
          <w:szCs w:val="21"/>
          <w:highlight w:val="none"/>
          <w:lang w:eastAsia="zh-CN"/>
        </w:rPr>
        <w:t>上季度</w:t>
      </w:r>
      <w:r>
        <w:rPr>
          <w:rFonts w:hint="eastAsia" w:ascii="宋体" w:hAnsi="宋体" w:eastAsia="宋体" w:cs="宋体"/>
          <w:color w:val="auto"/>
          <w:sz w:val="21"/>
          <w:szCs w:val="21"/>
          <w:highlight w:val="none"/>
        </w:rPr>
        <w:t>正式发票（</w:t>
      </w:r>
      <w:r>
        <w:rPr>
          <w:rFonts w:hint="eastAsia" w:ascii="宋体" w:hAnsi="宋体" w:eastAsia="宋体" w:cs="宋体"/>
          <w:color w:val="auto"/>
          <w:sz w:val="21"/>
          <w:szCs w:val="21"/>
          <w:highlight w:val="none"/>
          <w:lang w:val="en-US" w:eastAsia="zh-CN"/>
        </w:rPr>
        <w:t>13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电费</w:t>
      </w:r>
      <w:r>
        <w:rPr>
          <w:rFonts w:hint="eastAsia" w:ascii="宋体" w:hAnsi="宋体" w:eastAsia="宋体" w:cs="宋体"/>
          <w:color w:val="auto"/>
          <w:sz w:val="21"/>
          <w:szCs w:val="21"/>
          <w:highlight w:val="none"/>
        </w:rPr>
        <w:t>增值税专用发票，如遇税率调整，按新税率执行）至甲方，甲方</w:t>
      </w:r>
      <w:r>
        <w:rPr>
          <w:rFonts w:hint="eastAsia" w:ascii="宋体" w:hAnsi="宋体" w:eastAsia="宋体" w:cs="宋体"/>
          <w:color w:val="auto"/>
          <w:sz w:val="21"/>
          <w:szCs w:val="21"/>
          <w:highlight w:val="none"/>
          <w:lang w:eastAsia="zh-CN"/>
        </w:rPr>
        <w:t>收到发票后</w:t>
      </w:r>
      <w:r>
        <w:rPr>
          <w:rFonts w:hint="eastAsia" w:ascii="宋体" w:hAnsi="宋体" w:eastAsia="宋体" w:cs="宋体"/>
          <w:color w:val="auto"/>
          <w:sz w:val="21"/>
          <w:szCs w:val="21"/>
          <w:highlight w:val="none"/>
        </w:rPr>
        <w:t>于</w:t>
      </w:r>
      <w:r>
        <w:rPr>
          <w:rFonts w:hint="eastAsia" w:ascii="宋体" w:hAnsi="宋体" w:eastAsia="宋体" w:cs="宋体"/>
          <w:color w:val="auto"/>
          <w:sz w:val="21"/>
          <w:szCs w:val="21"/>
          <w:highlight w:val="none"/>
          <w:lang w:eastAsia="zh-CN"/>
        </w:rPr>
        <w:t>每季度首月</w:t>
      </w:r>
      <w:r>
        <w:rPr>
          <w:rFonts w:hint="eastAsia" w:ascii="宋体" w:hAnsi="宋体" w:eastAsia="宋体" w:cs="宋体"/>
          <w:color w:val="auto"/>
          <w:spacing w:val="0"/>
          <w:sz w:val="21"/>
          <w:szCs w:val="21"/>
          <w:highlight w:val="none"/>
          <w:u w:val="none"/>
          <w:lang w:val="en-US"/>
        </w:rPr>
        <w:t>【</w:t>
      </w:r>
      <w:r>
        <w:rPr>
          <w:rFonts w:hint="eastAsia" w:ascii="宋体" w:hAnsi="宋体" w:eastAsia="宋体" w:cs="宋体"/>
          <w:color w:val="auto"/>
          <w:spacing w:val="0"/>
          <w:sz w:val="21"/>
          <w:szCs w:val="21"/>
          <w:highlight w:val="none"/>
          <w:u w:val="none"/>
          <w:lang w:val="en-US" w:eastAsia="zh-CN"/>
        </w:rPr>
        <w:t>15</w:t>
      </w:r>
      <w:r>
        <w:rPr>
          <w:rFonts w:hint="eastAsia" w:ascii="宋体" w:hAnsi="宋体" w:eastAsia="宋体" w:cs="宋体"/>
          <w:color w:val="auto"/>
          <w:spacing w:val="0"/>
          <w:sz w:val="21"/>
          <w:szCs w:val="21"/>
          <w:highlight w:val="none"/>
          <w:u w:val="none"/>
          <w:lang w:val="en-US"/>
        </w:rPr>
        <w:t>】</w:t>
      </w:r>
      <w:r>
        <w:rPr>
          <w:rFonts w:hint="eastAsia" w:ascii="宋体" w:hAnsi="宋体" w:eastAsia="宋体" w:cs="宋体"/>
          <w:color w:val="auto"/>
          <w:sz w:val="21"/>
          <w:szCs w:val="21"/>
          <w:highlight w:val="none"/>
        </w:rPr>
        <w:t>日前根据</w:t>
      </w:r>
      <w:r>
        <w:rPr>
          <w:rFonts w:hint="eastAsia" w:ascii="宋体" w:hAnsi="宋体" w:eastAsia="宋体" w:cs="宋体"/>
          <w:color w:val="auto"/>
          <w:sz w:val="21"/>
          <w:szCs w:val="21"/>
          <w:highlight w:val="none"/>
          <w:lang w:val="en-US" w:eastAsia="zh-CN"/>
        </w:rPr>
        <w:t>双方签字盖章确认的对账单</w:t>
      </w:r>
      <w:r>
        <w:rPr>
          <w:rFonts w:hint="eastAsia" w:ascii="宋体" w:hAnsi="宋体" w:eastAsia="宋体" w:cs="宋体"/>
          <w:color w:val="auto"/>
          <w:sz w:val="21"/>
          <w:szCs w:val="21"/>
          <w:highlight w:val="none"/>
        </w:rPr>
        <w:t>及电费数据，将</w:t>
      </w:r>
      <w:r>
        <w:rPr>
          <w:rFonts w:hint="eastAsia" w:ascii="宋体" w:hAnsi="宋体" w:eastAsia="宋体" w:cs="宋体"/>
          <w:color w:val="auto"/>
          <w:sz w:val="21"/>
          <w:szCs w:val="21"/>
          <w:highlight w:val="none"/>
          <w:lang w:val="en-US" w:eastAsia="zh-CN"/>
        </w:rPr>
        <w:t>节约</w:t>
      </w:r>
      <w:r>
        <w:rPr>
          <w:rFonts w:hint="eastAsia" w:ascii="宋体" w:hAnsi="宋体" w:eastAsia="宋体" w:cs="宋体"/>
          <w:color w:val="auto"/>
          <w:sz w:val="21"/>
          <w:szCs w:val="21"/>
          <w:highlight w:val="none"/>
        </w:rPr>
        <w:t>电费收益</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汇至乙方指定收款账号，直至运营合作期届满（如运营合作期延长的，则至延长的运营合作期届满）。</w:t>
      </w:r>
    </w:p>
    <w:p w14:paraId="014056C8">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pacing w:val="0"/>
          <w:w w:val="100"/>
          <w:sz w:val="21"/>
          <w:szCs w:val="21"/>
          <w:highlight w:val="none"/>
          <w:lang w:val="en-US" w:eastAsia="zh-CN"/>
        </w:rPr>
      </w:pPr>
      <w:r>
        <w:rPr>
          <w:rFonts w:hint="eastAsia" w:ascii="宋体" w:hAnsi="宋体" w:eastAsia="宋体" w:cs="宋体"/>
          <w:color w:val="auto"/>
          <w:spacing w:val="0"/>
          <w:w w:val="100"/>
          <w:sz w:val="21"/>
          <w:szCs w:val="21"/>
          <w:highlight w:val="none"/>
          <w:lang w:val="en-US" w:eastAsia="zh-CN"/>
        </w:rPr>
        <w:t xml:space="preserve">3.4 </w:t>
      </w:r>
      <w:r>
        <w:rPr>
          <w:rFonts w:hint="eastAsia" w:ascii="宋体" w:hAnsi="宋体" w:eastAsia="宋体" w:cs="宋体"/>
          <w:b/>
          <w:bCs/>
          <w:color w:val="auto"/>
          <w:spacing w:val="0"/>
          <w:w w:val="100"/>
          <w:sz w:val="21"/>
          <w:szCs w:val="21"/>
          <w:highlight w:val="none"/>
        </w:rPr>
        <w:t>本项目</w:t>
      </w:r>
      <w:r>
        <w:rPr>
          <w:rFonts w:hint="eastAsia" w:ascii="宋体" w:hAnsi="宋体" w:eastAsia="宋体" w:cs="宋体"/>
          <w:b/>
          <w:bCs/>
          <w:color w:val="auto"/>
          <w:spacing w:val="0"/>
          <w:w w:val="100"/>
          <w:sz w:val="21"/>
          <w:szCs w:val="21"/>
          <w:highlight w:val="none"/>
          <w:lang w:val="en-US" w:eastAsia="zh-CN"/>
        </w:rPr>
        <w:t>充电站系统</w:t>
      </w:r>
      <w:r>
        <w:rPr>
          <w:rFonts w:hint="eastAsia" w:ascii="宋体" w:hAnsi="宋体" w:eastAsia="宋体" w:cs="宋体"/>
          <w:b/>
          <w:bCs/>
          <w:color w:val="auto"/>
          <w:spacing w:val="0"/>
          <w:w w:val="100"/>
          <w:sz w:val="21"/>
          <w:szCs w:val="21"/>
          <w:highlight w:val="none"/>
        </w:rPr>
        <w:t>收入</w:t>
      </w:r>
      <w:r>
        <w:rPr>
          <w:rFonts w:hint="eastAsia" w:ascii="宋体" w:hAnsi="宋体" w:eastAsia="宋体" w:cs="宋体"/>
          <w:b/>
          <w:bCs/>
          <w:color w:val="auto"/>
          <w:spacing w:val="0"/>
          <w:w w:val="100"/>
          <w:sz w:val="21"/>
          <w:szCs w:val="21"/>
          <w:highlight w:val="none"/>
          <w:lang w:val="en-US" w:eastAsia="zh-CN"/>
        </w:rPr>
        <w:t>及结算方式</w:t>
      </w:r>
    </w:p>
    <w:p w14:paraId="0F600A49">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snapToGrid/>
          <w:color w:val="auto"/>
          <w:sz w:val="21"/>
          <w:szCs w:val="21"/>
          <w:highlight w:val="none"/>
          <w:u w:val="none"/>
        </w:rPr>
      </w:pPr>
      <w:r>
        <w:rPr>
          <w:rFonts w:hint="eastAsia" w:ascii="宋体" w:hAnsi="宋体" w:eastAsia="宋体" w:cs="宋体"/>
          <w:b w:val="0"/>
          <w:bCs w:val="0"/>
          <w:color w:val="auto"/>
          <w:spacing w:val="0"/>
          <w:sz w:val="21"/>
          <w:szCs w:val="21"/>
          <w:highlight w:val="none"/>
          <w:u w:val="none"/>
          <w:lang w:val="en-US"/>
        </w:rPr>
        <w:t>3.</w:t>
      </w:r>
      <w:r>
        <w:rPr>
          <w:rFonts w:hint="eastAsia" w:ascii="宋体" w:hAnsi="宋体" w:eastAsia="宋体" w:cs="宋体"/>
          <w:b w:val="0"/>
          <w:bCs w:val="0"/>
          <w:color w:val="auto"/>
          <w:spacing w:val="0"/>
          <w:sz w:val="21"/>
          <w:szCs w:val="21"/>
          <w:highlight w:val="none"/>
          <w:u w:val="none"/>
          <w:lang w:val="en-US" w:eastAsia="zh-CN"/>
        </w:rPr>
        <w:t>4</w:t>
      </w:r>
      <w:r>
        <w:rPr>
          <w:rFonts w:hint="eastAsia" w:ascii="宋体" w:hAnsi="宋体" w:eastAsia="宋体" w:cs="宋体"/>
          <w:b w:val="0"/>
          <w:bCs w:val="0"/>
          <w:color w:val="auto"/>
          <w:spacing w:val="0"/>
          <w:sz w:val="21"/>
          <w:szCs w:val="21"/>
          <w:highlight w:val="none"/>
          <w:u w:val="none"/>
          <w:lang w:val="en-US"/>
        </w:rPr>
        <w:t>.1</w:t>
      </w:r>
      <w:r>
        <w:rPr>
          <w:rFonts w:hint="eastAsia" w:ascii="宋体" w:hAnsi="宋体" w:eastAsia="宋体" w:cs="宋体"/>
          <w:snapToGrid/>
          <w:color w:val="auto"/>
          <w:sz w:val="21"/>
          <w:szCs w:val="21"/>
          <w:highlight w:val="none"/>
          <w:u w:val="none"/>
        </w:rPr>
        <w:t>按场站</w:t>
      </w:r>
      <w:r>
        <w:rPr>
          <w:rFonts w:hint="eastAsia" w:ascii="宋体" w:hAnsi="宋体" w:eastAsia="宋体" w:cs="宋体"/>
          <w:snapToGrid/>
          <w:color w:val="auto"/>
          <w:sz w:val="21"/>
          <w:szCs w:val="21"/>
          <w:highlight w:val="none"/>
          <w:u w:val="none"/>
          <w:lang w:val="en-US" w:eastAsia="zh-CN"/>
        </w:rPr>
        <w:t>乙</w:t>
      </w:r>
      <w:r>
        <w:rPr>
          <w:rFonts w:hint="eastAsia" w:ascii="宋体" w:hAnsi="宋体" w:eastAsia="宋体" w:cs="宋体"/>
          <w:snapToGrid/>
          <w:color w:val="auto"/>
          <w:sz w:val="21"/>
          <w:szCs w:val="21"/>
          <w:highlight w:val="none"/>
          <w:u w:val="none"/>
        </w:rPr>
        <w:t>方实际收取充电服务费的</w:t>
      </w:r>
      <w:r>
        <w:rPr>
          <w:rFonts w:hint="eastAsia" w:ascii="宋体" w:hAnsi="宋体" w:eastAsia="宋体" w:cs="宋体"/>
          <w:snapToGrid/>
          <w:color w:val="auto"/>
          <w:sz w:val="21"/>
          <w:szCs w:val="21"/>
          <w:highlight w:val="none"/>
          <w:u w:val="none"/>
          <w:lang w:eastAsia="zh-CN"/>
        </w:rPr>
        <w:t>【</w:t>
      </w:r>
      <w:r>
        <w:rPr>
          <w:rFonts w:hint="eastAsia" w:ascii="宋体" w:hAnsi="宋体" w:eastAsia="宋体" w:cs="宋体"/>
          <w:snapToGrid/>
          <w:color w:val="auto"/>
          <w:sz w:val="21"/>
          <w:szCs w:val="21"/>
          <w:highlight w:val="none"/>
          <w:u w:val="none"/>
          <w:lang w:val="en-US" w:eastAsia="zh-CN"/>
        </w:rPr>
        <w:t xml:space="preserve"> </w:t>
      </w:r>
      <w:r>
        <w:rPr>
          <w:rFonts w:hint="eastAsia" w:ascii="宋体" w:hAnsi="宋体" w:eastAsia="宋体" w:cs="宋体"/>
          <w:snapToGrid/>
          <w:color w:val="auto"/>
          <w:sz w:val="21"/>
          <w:szCs w:val="21"/>
          <w:highlight w:val="none"/>
          <w:u w:val="none"/>
          <w:lang w:eastAsia="zh-CN"/>
        </w:rPr>
        <w:t>】</w:t>
      </w:r>
      <w:r>
        <w:rPr>
          <w:rFonts w:hint="eastAsia" w:ascii="宋体" w:hAnsi="宋体" w:eastAsia="宋体" w:cs="宋体"/>
          <w:snapToGrid/>
          <w:color w:val="auto"/>
          <w:sz w:val="21"/>
          <w:szCs w:val="21"/>
          <w:highlight w:val="none"/>
          <w:u w:val="none"/>
        </w:rPr>
        <w:t>%（实际充电服务费即扣除充电总收入中向国家电网实际缴纳的电费和平台引流费后的乙方含税实际收益）</w:t>
      </w:r>
    </w:p>
    <w:p w14:paraId="5EC4503F">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pacing w:val="0"/>
          <w:sz w:val="21"/>
          <w:szCs w:val="21"/>
          <w:highlight w:val="none"/>
          <w:u w:val="none"/>
          <w:lang w:val="en-US"/>
        </w:rPr>
      </w:pPr>
      <w:r>
        <w:rPr>
          <w:rFonts w:hint="eastAsia" w:ascii="宋体" w:hAnsi="宋体" w:eastAsia="宋体" w:cs="宋体"/>
          <w:color w:val="auto"/>
          <w:spacing w:val="0"/>
          <w:sz w:val="21"/>
          <w:szCs w:val="21"/>
          <w:highlight w:val="none"/>
          <w:u w:val="none"/>
          <w:lang w:val="en-US" w:eastAsia="zh-CN"/>
        </w:rPr>
        <w:t xml:space="preserve">3.4.2 </w:t>
      </w:r>
      <w:r>
        <w:rPr>
          <w:rFonts w:hint="eastAsia" w:ascii="宋体" w:hAnsi="宋体" w:eastAsia="宋体" w:cs="宋体"/>
          <w:color w:val="auto"/>
          <w:spacing w:val="0"/>
          <w:sz w:val="21"/>
          <w:szCs w:val="21"/>
          <w:highlight w:val="none"/>
          <w:u w:val="none"/>
          <w:lang w:val="en-US"/>
        </w:rPr>
        <w:t>甲乙双方以</w:t>
      </w:r>
      <w:r>
        <w:rPr>
          <w:rFonts w:hint="eastAsia" w:ascii="宋体" w:hAnsi="宋体" w:eastAsia="宋体" w:cs="宋体"/>
          <w:color w:val="auto"/>
          <w:spacing w:val="0"/>
          <w:sz w:val="21"/>
          <w:szCs w:val="21"/>
          <w:highlight w:val="none"/>
          <w:u w:val="none"/>
          <w:lang w:val="en-US" w:eastAsia="zh-CN"/>
        </w:rPr>
        <w:t>季度</w:t>
      </w:r>
      <w:r>
        <w:rPr>
          <w:rFonts w:hint="eastAsia" w:ascii="宋体" w:hAnsi="宋体" w:eastAsia="宋体" w:cs="宋体"/>
          <w:color w:val="auto"/>
          <w:spacing w:val="0"/>
          <w:sz w:val="21"/>
          <w:szCs w:val="21"/>
          <w:highlight w:val="none"/>
          <w:u w:val="none"/>
          <w:lang w:val="en-US"/>
        </w:rPr>
        <w:t>为周期就项目的收益进行分成核算，每</w:t>
      </w:r>
      <w:r>
        <w:rPr>
          <w:rFonts w:hint="eastAsia" w:ascii="宋体" w:hAnsi="宋体" w:eastAsia="宋体" w:cs="宋体"/>
          <w:color w:val="auto"/>
          <w:spacing w:val="0"/>
          <w:sz w:val="21"/>
          <w:szCs w:val="21"/>
          <w:highlight w:val="none"/>
          <w:u w:val="none"/>
          <w:lang w:val="en-US" w:eastAsia="zh-CN"/>
        </w:rPr>
        <w:t>季度首月（第一次结算为放电的第二季度，后续每季度首月结算上季度收益）</w:t>
      </w:r>
      <w:r>
        <w:rPr>
          <w:rFonts w:hint="eastAsia" w:ascii="宋体" w:hAnsi="宋体" w:eastAsia="宋体" w:cs="宋体"/>
          <w:color w:val="auto"/>
          <w:spacing w:val="0"/>
          <w:sz w:val="21"/>
          <w:szCs w:val="21"/>
          <w:highlight w:val="none"/>
          <w:u w:val="none"/>
          <w:lang w:val="en-US"/>
        </w:rPr>
        <w:t>开始【</w:t>
      </w:r>
      <w:r>
        <w:rPr>
          <w:rFonts w:hint="eastAsia" w:ascii="宋体" w:hAnsi="宋体" w:eastAsia="宋体" w:cs="宋体"/>
          <w:color w:val="auto"/>
          <w:spacing w:val="0"/>
          <w:sz w:val="21"/>
          <w:szCs w:val="21"/>
          <w:highlight w:val="none"/>
          <w:u w:val="none"/>
          <w:lang w:val="en-US" w:eastAsia="zh-CN"/>
        </w:rPr>
        <w:t>7</w:t>
      </w:r>
      <w:r>
        <w:rPr>
          <w:rFonts w:hint="eastAsia" w:ascii="宋体" w:hAnsi="宋体" w:eastAsia="宋体" w:cs="宋体"/>
          <w:color w:val="auto"/>
          <w:spacing w:val="0"/>
          <w:sz w:val="21"/>
          <w:szCs w:val="21"/>
          <w:highlight w:val="none"/>
          <w:u w:val="none"/>
          <w:lang w:val="en-US"/>
        </w:rPr>
        <w:t>】日内，经甲乙双方共同确认上</w:t>
      </w:r>
      <w:r>
        <w:rPr>
          <w:rFonts w:hint="eastAsia" w:ascii="宋体" w:hAnsi="宋体" w:eastAsia="宋体" w:cs="宋体"/>
          <w:color w:val="auto"/>
          <w:spacing w:val="0"/>
          <w:sz w:val="21"/>
          <w:szCs w:val="21"/>
          <w:highlight w:val="none"/>
          <w:u w:val="none"/>
          <w:lang w:val="en-US" w:eastAsia="zh-CN"/>
        </w:rPr>
        <w:t>季度</w:t>
      </w:r>
      <w:r>
        <w:rPr>
          <w:rFonts w:hint="eastAsia" w:ascii="宋体" w:hAnsi="宋体" w:eastAsia="宋体" w:cs="宋体"/>
          <w:color w:val="auto"/>
          <w:spacing w:val="0"/>
          <w:sz w:val="21"/>
          <w:szCs w:val="21"/>
          <w:highlight w:val="none"/>
          <w:u w:val="none"/>
          <w:lang w:val="en-US"/>
        </w:rPr>
        <w:t>的收益</w:t>
      </w:r>
      <w:r>
        <w:rPr>
          <w:rFonts w:hint="eastAsia" w:ascii="宋体" w:hAnsi="宋体" w:eastAsia="宋体" w:cs="宋体"/>
          <w:color w:val="auto"/>
          <w:spacing w:val="0"/>
          <w:sz w:val="21"/>
          <w:szCs w:val="21"/>
          <w:highlight w:val="none"/>
          <w:u w:val="none"/>
          <w:lang w:val="en-US" w:eastAsia="zh-CN"/>
        </w:rPr>
        <w:t>后</w:t>
      </w:r>
      <w:r>
        <w:rPr>
          <w:rFonts w:hint="eastAsia" w:ascii="宋体" w:hAnsi="宋体" w:eastAsia="宋体" w:cs="宋体"/>
          <w:color w:val="auto"/>
          <w:spacing w:val="0"/>
          <w:sz w:val="21"/>
          <w:szCs w:val="21"/>
          <w:highlight w:val="none"/>
          <w:u w:val="none"/>
        </w:rPr>
        <w:t>，</w:t>
      </w:r>
      <w:r>
        <w:rPr>
          <w:rFonts w:hint="eastAsia" w:ascii="宋体" w:hAnsi="宋体" w:eastAsia="宋体" w:cs="宋体"/>
          <w:color w:val="auto"/>
          <w:spacing w:val="0"/>
          <w:sz w:val="21"/>
          <w:szCs w:val="21"/>
          <w:highlight w:val="none"/>
          <w:u w:val="none"/>
          <w:lang w:val="en-US"/>
        </w:rPr>
        <w:t>并在每</w:t>
      </w:r>
      <w:r>
        <w:rPr>
          <w:rFonts w:hint="eastAsia" w:ascii="宋体" w:hAnsi="宋体" w:eastAsia="宋体" w:cs="宋体"/>
          <w:color w:val="auto"/>
          <w:spacing w:val="0"/>
          <w:sz w:val="21"/>
          <w:szCs w:val="21"/>
          <w:highlight w:val="none"/>
          <w:u w:val="none"/>
          <w:lang w:val="en-US" w:eastAsia="zh-CN"/>
        </w:rPr>
        <w:t>季度首月的</w:t>
      </w:r>
      <w:r>
        <w:rPr>
          <w:rFonts w:hint="eastAsia" w:ascii="宋体" w:hAnsi="宋体" w:eastAsia="宋体" w:cs="宋体"/>
          <w:color w:val="auto"/>
          <w:spacing w:val="0"/>
          <w:sz w:val="21"/>
          <w:szCs w:val="21"/>
          <w:highlight w:val="none"/>
          <w:u w:val="none"/>
        </w:rPr>
        <w:t>【</w:t>
      </w:r>
      <w:r>
        <w:rPr>
          <w:rFonts w:hint="eastAsia" w:ascii="宋体" w:hAnsi="宋体" w:eastAsia="宋体" w:cs="宋体"/>
          <w:color w:val="auto"/>
          <w:spacing w:val="0"/>
          <w:sz w:val="21"/>
          <w:szCs w:val="21"/>
          <w:highlight w:val="none"/>
          <w:u w:val="none"/>
          <w:lang w:val="en-US" w:eastAsia="zh-CN"/>
        </w:rPr>
        <w:t>15</w:t>
      </w:r>
      <w:r>
        <w:rPr>
          <w:rFonts w:hint="eastAsia" w:ascii="宋体" w:hAnsi="宋体" w:eastAsia="宋体" w:cs="宋体"/>
          <w:color w:val="auto"/>
          <w:spacing w:val="0"/>
          <w:sz w:val="21"/>
          <w:szCs w:val="21"/>
          <w:highlight w:val="none"/>
          <w:u w:val="none"/>
        </w:rPr>
        <w:t>】</w:t>
      </w:r>
      <w:r>
        <w:rPr>
          <w:rFonts w:hint="eastAsia" w:ascii="宋体" w:hAnsi="宋体" w:eastAsia="宋体" w:cs="宋体"/>
          <w:color w:val="auto"/>
          <w:spacing w:val="0"/>
          <w:sz w:val="21"/>
          <w:szCs w:val="21"/>
          <w:highlight w:val="none"/>
          <w:u w:val="none"/>
          <w:lang w:val="en-US"/>
        </w:rPr>
        <w:t>号前</w:t>
      </w:r>
      <w:r>
        <w:rPr>
          <w:rFonts w:hint="eastAsia" w:ascii="宋体" w:hAnsi="宋体" w:eastAsia="宋体" w:cs="宋体"/>
          <w:color w:val="auto"/>
          <w:spacing w:val="0"/>
          <w:sz w:val="21"/>
          <w:szCs w:val="21"/>
          <w:highlight w:val="none"/>
          <w:u w:val="none"/>
        </w:rPr>
        <w:t>，</w:t>
      </w:r>
      <w:r>
        <w:rPr>
          <w:rFonts w:hint="eastAsia" w:ascii="宋体" w:hAnsi="宋体" w:eastAsia="宋体" w:cs="宋体"/>
          <w:color w:val="auto"/>
          <w:spacing w:val="0"/>
          <w:sz w:val="21"/>
          <w:szCs w:val="21"/>
          <w:highlight w:val="none"/>
          <w:u w:val="none"/>
          <w:lang w:val="en-US"/>
        </w:rPr>
        <w:t>进行利润分成。</w:t>
      </w:r>
    </w:p>
    <w:p w14:paraId="1FE79DD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项目运营期满后</w:t>
      </w:r>
      <w:r>
        <w:rPr>
          <w:rFonts w:hint="eastAsia" w:ascii="宋体" w:hAnsi="宋体" w:eastAsia="宋体" w:cs="宋体"/>
          <w:color w:val="auto"/>
          <w:sz w:val="21"/>
          <w:szCs w:val="21"/>
          <w:highlight w:val="none"/>
          <w:lang w:val="en-US" w:eastAsia="zh-CN"/>
        </w:rPr>
        <w:t>乙方不再与甲方续约的</w:t>
      </w:r>
      <w:r>
        <w:rPr>
          <w:rFonts w:hint="eastAsia" w:ascii="宋体" w:hAnsi="宋体" w:eastAsia="宋体" w:cs="宋体"/>
          <w:color w:val="auto"/>
          <w:sz w:val="21"/>
          <w:szCs w:val="21"/>
          <w:highlight w:val="none"/>
        </w:rPr>
        <w:t>，甲方有权要求乙方</w:t>
      </w:r>
      <w:r>
        <w:rPr>
          <w:rFonts w:hint="eastAsia" w:ascii="宋体" w:hAnsi="宋体" w:eastAsia="宋体" w:cs="宋体"/>
          <w:color w:val="auto"/>
          <w:sz w:val="21"/>
          <w:szCs w:val="21"/>
          <w:highlight w:val="none"/>
          <w:lang w:eastAsia="zh-CN"/>
        </w:rPr>
        <w:t>按甲方要求的期限内</w:t>
      </w:r>
      <w:r>
        <w:rPr>
          <w:rFonts w:hint="eastAsia" w:ascii="宋体" w:hAnsi="宋体" w:eastAsia="宋体" w:cs="宋体"/>
          <w:color w:val="auto"/>
          <w:sz w:val="21"/>
          <w:szCs w:val="21"/>
          <w:highlight w:val="none"/>
        </w:rPr>
        <w:t>自行拆除本项目的相关设施并承担相关费用，恢复</w:t>
      </w:r>
      <w:r>
        <w:rPr>
          <w:rFonts w:hint="eastAsia" w:ascii="宋体" w:hAnsi="宋体" w:eastAsia="宋体" w:cs="宋体"/>
          <w:color w:val="auto"/>
          <w:sz w:val="21"/>
          <w:szCs w:val="21"/>
          <w:highlight w:val="none"/>
          <w:lang w:val="en-US" w:eastAsia="zh-CN"/>
        </w:rPr>
        <w:t>场地</w:t>
      </w:r>
      <w:r>
        <w:rPr>
          <w:rFonts w:hint="eastAsia" w:ascii="宋体" w:hAnsi="宋体" w:eastAsia="宋体" w:cs="宋体"/>
          <w:color w:val="auto"/>
          <w:sz w:val="21"/>
          <w:szCs w:val="21"/>
          <w:highlight w:val="none"/>
        </w:rPr>
        <w:t>原状。</w:t>
      </w:r>
    </w:p>
    <w:p w14:paraId="23FE0F1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甲乙双方就移交</w:t>
      </w:r>
      <w:r>
        <w:rPr>
          <w:rFonts w:hint="eastAsia" w:ascii="宋体" w:hAnsi="宋体" w:eastAsia="宋体" w:cs="宋体"/>
          <w:color w:val="auto"/>
          <w:sz w:val="21"/>
          <w:szCs w:val="21"/>
          <w:highlight w:val="none"/>
          <w:lang w:val="en-US" w:eastAsia="zh-CN"/>
        </w:rPr>
        <w:t>场地</w:t>
      </w:r>
      <w:r>
        <w:rPr>
          <w:rFonts w:hint="eastAsia" w:ascii="宋体" w:hAnsi="宋体" w:eastAsia="宋体" w:cs="宋体"/>
          <w:color w:val="auto"/>
          <w:sz w:val="21"/>
          <w:szCs w:val="21"/>
          <w:highlight w:val="none"/>
        </w:rPr>
        <w:t>进行提前现场确认，</w:t>
      </w:r>
      <w:r>
        <w:rPr>
          <w:rFonts w:hint="eastAsia" w:ascii="宋体" w:hAnsi="宋体" w:eastAsia="宋体" w:cs="宋体"/>
          <w:color w:val="auto"/>
          <w:sz w:val="21"/>
          <w:szCs w:val="21"/>
          <w:highlight w:val="none"/>
          <w:lang w:eastAsia="zh-CN"/>
        </w:rPr>
        <w:t>场地移交按照现状交付原则，</w:t>
      </w:r>
      <w:r>
        <w:rPr>
          <w:rFonts w:hint="eastAsia" w:ascii="宋体" w:hAnsi="宋体" w:eastAsia="宋体" w:cs="宋体"/>
          <w:color w:val="auto"/>
          <w:sz w:val="21"/>
          <w:szCs w:val="21"/>
          <w:highlight w:val="none"/>
        </w:rPr>
        <w:t>并签订</w:t>
      </w:r>
      <w:r>
        <w:rPr>
          <w:rFonts w:hint="eastAsia" w:ascii="宋体" w:hAnsi="宋体" w:eastAsia="宋体" w:cs="宋体"/>
          <w:color w:val="auto"/>
          <w:sz w:val="21"/>
          <w:szCs w:val="21"/>
          <w:highlight w:val="none"/>
          <w:lang w:eastAsia="zh-CN"/>
        </w:rPr>
        <w:t>场地</w:t>
      </w:r>
      <w:r>
        <w:rPr>
          <w:rFonts w:hint="eastAsia" w:ascii="宋体" w:hAnsi="宋体" w:eastAsia="宋体" w:cs="宋体"/>
          <w:color w:val="auto"/>
          <w:sz w:val="21"/>
          <w:szCs w:val="21"/>
          <w:highlight w:val="none"/>
        </w:rPr>
        <w:t>交接</w:t>
      </w:r>
      <w:r>
        <w:rPr>
          <w:rFonts w:hint="eastAsia" w:ascii="宋体" w:hAnsi="宋体" w:eastAsia="宋体" w:cs="宋体"/>
          <w:color w:val="auto"/>
          <w:sz w:val="21"/>
          <w:szCs w:val="21"/>
          <w:highlight w:val="none"/>
          <w:lang w:eastAsia="zh-CN"/>
        </w:rPr>
        <w:t>书</w:t>
      </w:r>
      <w:r>
        <w:rPr>
          <w:rFonts w:hint="eastAsia" w:ascii="宋体" w:hAnsi="宋体" w:eastAsia="宋体" w:cs="宋体"/>
          <w:color w:val="auto"/>
          <w:sz w:val="21"/>
          <w:szCs w:val="21"/>
          <w:highlight w:val="none"/>
        </w:rPr>
        <w:t>（标记详细地址、</w:t>
      </w:r>
      <w:r>
        <w:rPr>
          <w:rFonts w:hint="eastAsia" w:ascii="宋体" w:hAnsi="宋体" w:eastAsia="宋体" w:cs="宋体"/>
          <w:color w:val="auto"/>
          <w:sz w:val="21"/>
          <w:szCs w:val="21"/>
          <w:highlight w:val="none"/>
          <w:lang w:val="en-US" w:eastAsia="zh-CN"/>
        </w:rPr>
        <w:t>相关设施、停车场面积、</w:t>
      </w:r>
      <w:r>
        <w:rPr>
          <w:rFonts w:hint="eastAsia" w:ascii="宋体" w:hAnsi="宋体" w:eastAsia="宋体" w:cs="宋体"/>
          <w:color w:val="auto"/>
          <w:sz w:val="21"/>
          <w:szCs w:val="21"/>
          <w:highlight w:val="none"/>
        </w:rPr>
        <w:t>交接时间、交接人员</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），非</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方原因引起的漏水</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lang w:val="en-US" w:eastAsia="zh-CN"/>
        </w:rPr>
        <w:t>不承担相关责任</w:t>
      </w:r>
      <w:r>
        <w:rPr>
          <w:rFonts w:hint="eastAsia" w:ascii="宋体" w:hAnsi="宋体" w:eastAsia="宋体" w:cs="宋体"/>
          <w:color w:val="auto"/>
          <w:sz w:val="21"/>
          <w:szCs w:val="21"/>
          <w:highlight w:val="none"/>
        </w:rPr>
        <w:t>；因乙方原因造成的漏水</w:t>
      </w:r>
      <w:r>
        <w:rPr>
          <w:rFonts w:hint="eastAsia" w:ascii="宋体" w:hAnsi="宋体" w:eastAsia="宋体" w:cs="宋体"/>
          <w:color w:val="auto"/>
          <w:sz w:val="21"/>
          <w:szCs w:val="21"/>
          <w:highlight w:val="none"/>
          <w:lang w:eastAsia="zh-CN"/>
        </w:rPr>
        <w:t>等后续等场地问题</w:t>
      </w:r>
      <w:r>
        <w:rPr>
          <w:rFonts w:hint="eastAsia" w:ascii="宋体" w:hAnsi="宋体" w:eastAsia="宋体" w:cs="宋体"/>
          <w:color w:val="auto"/>
          <w:sz w:val="21"/>
          <w:szCs w:val="21"/>
          <w:highlight w:val="none"/>
        </w:rPr>
        <w:t>，由乙方负责维修。</w:t>
      </w:r>
      <w:r>
        <w:rPr>
          <w:rFonts w:hint="eastAsia" w:ascii="宋体" w:hAnsi="宋体" w:eastAsia="宋体" w:cs="宋体"/>
          <w:color w:val="auto"/>
          <w:sz w:val="21"/>
          <w:szCs w:val="21"/>
          <w:highlight w:val="none"/>
          <w:lang w:eastAsia="zh-CN"/>
        </w:rPr>
        <w:t>交付以后</w:t>
      </w:r>
      <w:r>
        <w:rPr>
          <w:rFonts w:hint="eastAsia" w:ascii="宋体" w:hAnsi="宋体" w:eastAsia="宋体" w:cs="宋体"/>
          <w:color w:val="auto"/>
          <w:sz w:val="21"/>
          <w:szCs w:val="21"/>
          <w:highlight w:val="none"/>
          <w:lang w:val="en-US" w:eastAsia="zh-CN"/>
        </w:rPr>
        <w:t>日常设备设施，场地维修维护均由乙方负责。</w:t>
      </w:r>
    </w:p>
    <w:p w14:paraId="51132E1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val="en-US" w:eastAsia="zh-CN"/>
        </w:rPr>
        <w:t>储能系统和充电站</w:t>
      </w:r>
      <w:r>
        <w:rPr>
          <w:rFonts w:hint="eastAsia" w:ascii="宋体" w:hAnsi="宋体" w:eastAsia="宋体" w:cs="宋体"/>
          <w:color w:val="auto"/>
          <w:sz w:val="21"/>
          <w:szCs w:val="21"/>
          <w:highlight w:val="none"/>
        </w:rPr>
        <w:t>就近接入</w:t>
      </w:r>
      <w:r>
        <w:rPr>
          <w:rFonts w:hint="eastAsia" w:ascii="宋体" w:hAnsi="宋体" w:eastAsia="宋体" w:cs="宋体"/>
          <w:color w:val="auto"/>
          <w:spacing w:val="0"/>
          <w:sz w:val="21"/>
          <w:szCs w:val="21"/>
          <w:highlight w:val="none"/>
          <w:lang w:val="en-US" w:eastAsia="zh-CN"/>
        </w:rPr>
        <w:t>大数据交易中心</w:t>
      </w:r>
      <w:r>
        <w:rPr>
          <w:rFonts w:hint="eastAsia" w:ascii="宋体" w:hAnsi="宋体" w:eastAsia="宋体" w:cs="宋体"/>
          <w:color w:val="auto"/>
          <w:sz w:val="21"/>
          <w:szCs w:val="21"/>
          <w:highlight w:val="none"/>
        </w:rPr>
        <w:t>变压器系统。</w:t>
      </w:r>
      <w:r>
        <w:rPr>
          <w:rFonts w:hint="eastAsia" w:ascii="宋体" w:hAnsi="宋体" w:eastAsia="宋体" w:cs="宋体"/>
          <w:color w:val="auto"/>
          <w:sz w:val="21"/>
          <w:szCs w:val="21"/>
          <w:highlight w:val="none"/>
          <w:lang w:val="en-US" w:eastAsia="zh-CN"/>
        </w:rPr>
        <w:t xml:space="preserve">相关技术问题和电网系统接入申请由乙方自行负责。 </w:t>
      </w:r>
    </w:p>
    <w:p w14:paraId="79D6144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根据国家新能源产业发展相关政策，</w:t>
      </w:r>
      <w:r>
        <w:rPr>
          <w:rFonts w:hint="eastAsia" w:ascii="宋体" w:hAnsi="宋体" w:eastAsia="宋体" w:cs="宋体"/>
          <w:b/>
          <w:bCs/>
          <w:color w:val="auto"/>
          <w:sz w:val="21"/>
          <w:szCs w:val="21"/>
          <w:highlight w:val="none"/>
          <w:lang w:val="en-US" w:eastAsia="zh-CN"/>
        </w:rPr>
        <w:t>乙方应以本项目相关材料支持甲方申请大楼节能专项资金，相关收益由甲方单独享有。 本项目</w:t>
      </w:r>
      <w:r>
        <w:rPr>
          <w:rFonts w:hint="eastAsia" w:ascii="宋体" w:hAnsi="宋体" w:eastAsia="宋体" w:cs="宋体"/>
          <w:b/>
          <w:bCs/>
          <w:color w:val="auto"/>
          <w:sz w:val="21"/>
          <w:szCs w:val="21"/>
          <w:highlight w:val="none"/>
        </w:rPr>
        <w:t>碳排放交易</w:t>
      </w:r>
      <w:r>
        <w:rPr>
          <w:rFonts w:hint="eastAsia" w:ascii="宋体" w:hAnsi="宋体" w:eastAsia="宋体" w:cs="宋体"/>
          <w:b/>
          <w:bCs/>
          <w:color w:val="auto"/>
          <w:sz w:val="21"/>
          <w:szCs w:val="21"/>
          <w:highlight w:val="none"/>
          <w:lang w:val="en-US" w:eastAsia="zh-CN"/>
        </w:rPr>
        <w:t>所产生的碳指标受益</w:t>
      </w:r>
      <w:r>
        <w:rPr>
          <w:rFonts w:hint="eastAsia" w:ascii="宋体" w:hAnsi="宋体" w:eastAsia="宋体" w:cs="宋体"/>
          <w:b/>
          <w:bCs/>
          <w:color w:val="auto"/>
          <w:sz w:val="21"/>
          <w:szCs w:val="21"/>
          <w:highlight w:val="none"/>
        </w:rPr>
        <w:t>主体</w:t>
      </w:r>
      <w:r>
        <w:rPr>
          <w:rFonts w:hint="eastAsia" w:ascii="宋体" w:hAnsi="宋体" w:eastAsia="宋体" w:cs="宋体"/>
          <w:b/>
          <w:bCs/>
          <w:color w:val="auto"/>
          <w:sz w:val="21"/>
          <w:szCs w:val="21"/>
          <w:highlight w:val="none"/>
          <w:lang w:val="en-US" w:eastAsia="zh-CN"/>
        </w:rPr>
        <w:t>为甲方所有</w:t>
      </w:r>
      <w:r>
        <w:rPr>
          <w:rFonts w:hint="eastAsia" w:ascii="宋体" w:hAnsi="宋体" w:eastAsia="宋体" w:cs="宋体"/>
          <w:b/>
          <w:bCs/>
          <w:color w:val="auto"/>
          <w:sz w:val="21"/>
          <w:szCs w:val="21"/>
          <w:highlight w:val="none"/>
          <w:lang w:eastAsia="zh-CN"/>
        </w:rPr>
        <w:t>。乙方应当无条件配合甲方实现上述权益，因乙方不配合导致甲方无法实现上述权益的，乙方应当按照已实现的收益赔偿甲方。</w:t>
      </w:r>
    </w:p>
    <w:p w14:paraId="0E83CCE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bCs w:val="0"/>
          <w:color w:val="auto"/>
          <w:sz w:val="21"/>
          <w:szCs w:val="21"/>
          <w:highlight w:val="none"/>
          <w:lang w:eastAsia="zh-CN"/>
        </w:rPr>
      </w:pPr>
      <w:r>
        <w:rPr>
          <w:rFonts w:hint="eastAsia" w:ascii="宋体" w:hAnsi="宋体" w:eastAsia="宋体" w:cs="宋体"/>
          <w:bCs w:val="0"/>
          <w:color w:val="auto"/>
          <w:spacing w:val="0"/>
          <w:sz w:val="21"/>
          <w:szCs w:val="21"/>
          <w:highlight w:val="none"/>
          <w:lang w:val="en-US" w:eastAsia="zh-CN"/>
        </w:rPr>
        <w:t>3.9</w:t>
      </w:r>
      <w:r>
        <w:rPr>
          <w:rFonts w:hint="eastAsia" w:ascii="宋体" w:hAnsi="宋体" w:eastAsia="宋体" w:cs="宋体"/>
          <w:bCs w:val="0"/>
          <w:color w:val="auto"/>
          <w:spacing w:val="0"/>
          <w:sz w:val="21"/>
          <w:szCs w:val="21"/>
          <w:highlight w:val="none"/>
        </w:rPr>
        <w:t>甲乙双方对各自享有产权的设备、设施、建筑承担维护、保养义务，并承担相关费用。</w:t>
      </w:r>
    </w:p>
    <w:p w14:paraId="7CA76D9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第四节：甲方权利与义务</w:t>
      </w:r>
    </w:p>
    <w:p w14:paraId="20281B9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4.1在本协议履行过程中，如房屋使用权</w:t>
      </w:r>
      <w:r>
        <w:rPr>
          <w:rFonts w:hint="eastAsia" w:ascii="宋体" w:hAnsi="宋体" w:eastAsia="宋体" w:cs="宋体"/>
          <w:color w:val="auto"/>
          <w:sz w:val="21"/>
          <w:szCs w:val="21"/>
          <w:highlight w:val="none"/>
          <w:lang w:val="en-US"/>
        </w:rPr>
        <w:t>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停车场</w:t>
      </w:r>
      <w:r>
        <w:rPr>
          <w:rFonts w:hint="eastAsia" w:ascii="宋体" w:hAnsi="宋体" w:eastAsia="宋体" w:cs="宋体"/>
          <w:color w:val="auto"/>
          <w:sz w:val="21"/>
          <w:szCs w:val="21"/>
          <w:highlight w:val="none"/>
          <w:lang w:val="en-US"/>
        </w:rPr>
        <w:t>管理权人</w:t>
      </w:r>
      <w:r>
        <w:rPr>
          <w:rFonts w:hint="eastAsia" w:ascii="宋体" w:hAnsi="宋体" w:eastAsia="宋体" w:cs="宋体"/>
          <w:color w:val="auto"/>
          <w:sz w:val="21"/>
          <w:szCs w:val="21"/>
          <w:highlight w:val="none"/>
        </w:rPr>
        <w:t>发生变动时，甲方</w:t>
      </w:r>
      <w:r>
        <w:rPr>
          <w:rFonts w:hint="eastAsia" w:ascii="宋体" w:hAnsi="宋体" w:eastAsia="宋体" w:cs="宋体"/>
          <w:color w:val="auto"/>
          <w:sz w:val="21"/>
          <w:szCs w:val="21"/>
          <w:highlight w:val="none"/>
          <w:lang w:val="en-US" w:eastAsia="zh-CN"/>
        </w:rPr>
        <w:t>应积极配合相关方处理，使乙方可</w:t>
      </w:r>
      <w:r>
        <w:rPr>
          <w:rFonts w:hint="eastAsia" w:ascii="宋体" w:hAnsi="宋体" w:eastAsia="宋体" w:cs="宋体"/>
          <w:color w:val="auto"/>
          <w:sz w:val="21"/>
          <w:szCs w:val="21"/>
          <w:highlight w:val="none"/>
          <w:lang w:val="en-US"/>
        </w:rPr>
        <w:t>继续在本合同期限内</w:t>
      </w:r>
      <w:r>
        <w:rPr>
          <w:rFonts w:hint="eastAsia" w:ascii="宋体" w:hAnsi="宋体" w:eastAsia="宋体" w:cs="宋体"/>
          <w:color w:val="auto"/>
          <w:sz w:val="21"/>
          <w:szCs w:val="21"/>
          <w:highlight w:val="none"/>
          <w:lang w:val="en-US" w:eastAsia="zh-CN"/>
        </w:rPr>
        <w:t>正常使用场地</w:t>
      </w:r>
      <w:r>
        <w:rPr>
          <w:rFonts w:hint="eastAsia" w:ascii="宋体" w:hAnsi="宋体" w:eastAsia="宋体" w:cs="宋体"/>
          <w:color w:val="auto"/>
          <w:sz w:val="21"/>
          <w:szCs w:val="21"/>
          <w:highlight w:val="none"/>
        </w:rPr>
        <w:t>。</w:t>
      </w:r>
    </w:p>
    <w:p w14:paraId="2E670C9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4.2甲方协助乙方办理政府许可文件和电网接入批复。甲方向乙方提供电气系统图、建筑结构图、生产负荷用电曲线等涉及项目设计的资料，并对项目方案进行审核。</w:t>
      </w:r>
    </w:p>
    <w:p w14:paraId="028192B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4.3甲方将与项目有关的内部规章制度和特殊安全要求提前告知乙方，为乙方建设提供水、电、临时场地等必要条件。</w:t>
      </w:r>
    </w:p>
    <w:p w14:paraId="7C8E7BF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4.4甲方为乙方检修维护和故障处理提供便利，如发现项目设备故障或丢失，甲方立即通知乙方，由乙方进行维修和监管。</w:t>
      </w:r>
    </w:p>
    <w:p w14:paraId="127EA14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4.5</w:t>
      </w:r>
      <w:r>
        <w:rPr>
          <w:rFonts w:hint="eastAsia" w:ascii="宋体" w:hAnsi="宋体" w:eastAsia="宋体" w:cs="宋体"/>
          <w:color w:val="auto"/>
          <w:spacing w:val="0"/>
          <w:sz w:val="21"/>
          <w:szCs w:val="21"/>
          <w:highlight w:val="none"/>
        </w:rPr>
        <w:t>在本项目运行期间，甲方不得无故拆除、更换、更改、添加或移动本项目或与本项目相关的现有设备、设施、场地，如甲方有正当理由需要拆除、更换、更改、添加或移动本项目或与本项目相关的现有设备、设施、场地，应事先书面通知乙方，双方共同协调，将</w:t>
      </w:r>
      <w:r>
        <w:rPr>
          <w:rFonts w:hint="eastAsia" w:ascii="宋体" w:hAnsi="宋体" w:eastAsia="宋体" w:cs="宋体"/>
          <w:color w:val="auto"/>
          <w:spacing w:val="0"/>
          <w:sz w:val="21"/>
          <w:szCs w:val="21"/>
          <w:highlight w:val="none"/>
          <w:lang w:val="en-US" w:eastAsia="zh-CN"/>
        </w:rPr>
        <w:t>对</w:t>
      </w:r>
      <w:r>
        <w:rPr>
          <w:rFonts w:hint="eastAsia" w:ascii="宋体" w:hAnsi="宋体" w:eastAsia="宋体" w:cs="宋体"/>
          <w:color w:val="auto"/>
          <w:spacing w:val="0"/>
          <w:sz w:val="21"/>
          <w:szCs w:val="21"/>
          <w:highlight w:val="none"/>
        </w:rPr>
        <w:t>乙方产生的不利影响降到最低，若</w:t>
      </w:r>
      <w:r>
        <w:rPr>
          <w:rFonts w:hint="eastAsia" w:ascii="宋体" w:hAnsi="宋体" w:eastAsia="宋体" w:cs="宋体"/>
          <w:color w:val="auto"/>
          <w:spacing w:val="0"/>
          <w:sz w:val="21"/>
          <w:szCs w:val="21"/>
          <w:highlight w:val="none"/>
          <w:lang w:val="en-US" w:eastAsia="zh-CN"/>
        </w:rPr>
        <w:t>甲方原因</w:t>
      </w:r>
      <w:r>
        <w:rPr>
          <w:rFonts w:hint="eastAsia" w:ascii="宋体" w:hAnsi="宋体" w:eastAsia="宋体" w:cs="宋体"/>
          <w:color w:val="auto"/>
          <w:spacing w:val="0"/>
          <w:sz w:val="21"/>
          <w:szCs w:val="21"/>
          <w:highlight w:val="none"/>
        </w:rPr>
        <w:t>给乙方造成损失的，甲方应予以赔偿。</w:t>
      </w:r>
    </w:p>
    <w:p w14:paraId="5A20FBB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6甲方保证，在本协议签订前，甲方已就本合同相关事宜取得相关权力，甲方有权决定本项目相关事</w:t>
      </w:r>
      <w:r>
        <w:rPr>
          <w:rFonts w:hint="eastAsia" w:ascii="宋体" w:hAnsi="宋体" w:eastAsia="宋体" w:cs="宋体"/>
          <w:color w:val="auto"/>
          <w:spacing w:val="0"/>
          <w:sz w:val="21"/>
          <w:szCs w:val="21"/>
          <w:highlight w:val="none"/>
          <w:lang w:val="en-US" w:eastAsia="zh-CN"/>
        </w:rPr>
        <w:t xml:space="preserve">项、有权签署本合同。 </w:t>
      </w:r>
    </w:p>
    <w:p w14:paraId="5D8CB83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lang w:val="en-US" w:eastAsia="zh-CN"/>
        </w:rPr>
        <w:t>4.7</w:t>
      </w:r>
      <w:r>
        <w:rPr>
          <w:rFonts w:hint="eastAsia" w:ascii="宋体" w:hAnsi="宋体" w:eastAsia="宋体" w:cs="宋体"/>
          <w:color w:val="auto"/>
          <w:spacing w:val="0"/>
          <w:sz w:val="21"/>
          <w:szCs w:val="21"/>
          <w:highlight w:val="none"/>
        </w:rPr>
        <w:t>若甲方于本协议生效之日起15年内翻新修理项目场地且需要乙方拆装</w:t>
      </w:r>
      <w:r>
        <w:rPr>
          <w:rFonts w:hint="eastAsia" w:ascii="宋体" w:hAnsi="宋体" w:eastAsia="宋体" w:cs="宋体"/>
          <w:color w:val="auto"/>
          <w:spacing w:val="0"/>
          <w:sz w:val="21"/>
          <w:szCs w:val="21"/>
          <w:highlight w:val="none"/>
          <w:lang w:val="en-US" w:eastAsia="zh-CN"/>
        </w:rPr>
        <w:t>储能设备</w:t>
      </w:r>
      <w:r>
        <w:rPr>
          <w:rFonts w:hint="eastAsia" w:ascii="宋体" w:hAnsi="宋体" w:eastAsia="宋体" w:cs="宋体"/>
          <w:color w:val="auto"/>
          <w:spacing w:val="0"/>
          <w:sz w:val="21"/>
          <w:szCs w:val="21"/>
          <w:highlight w:val="none"/>
        </w:rPr>
        <w:t>的，相关拆装费用由甲方承担；若甲方于本协议生效之日起15年后翻新修理项目场地且需要乙方拆装光伏</w:t>
      </w:r>
      <w:r>
        <w:rPr>
          <w:rFonts w:hint="eastAsia" w:ascii="宋体" w:hAnsi="宋体" w:eastAsia="宋体" w:cs="宋体"/>
          <w:color w:val="auto"/>
          <w:spacing w:val="0"/>
          <w:sz w:val="21"/>
          <w:szCs w:val="21"/>
          <w:highlight w:val="none"/>
          <w:lang w:val="en-US" w:eastAsia="zh-CN"/>
        </w:rPr>
        <w:t>或储能设备</w:t>
      </w:r>
      <w:r>
        <w:rPr>
          <w:rFonts w:hint="eastAsia" w:ascii="宋体" w:hAnsi="宋体" w:eastAsia="宋体" w:cs="宋体"/>
          <w:color w:val="auto"/>
          <w:spacing w:val="0"/>
          <w:sz w:val="21"/>
          <w:szCs w:val="21"/>
          <w:highlight w:val="none"/>
        </w:rPr>
        <w:t>的，相关拆装费用由乙方承担。</w:t>
      </w:r>
    </w:p>
    <w:p w14:paraId="35377D2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lang w:val="en-US" w:eastAsia="zh-CN"/>
        </w:rPr>
        <w:t>4.8</w:t>
      </w:r>
      <w:r>
        <w:rPr>
          <w:rFonts w:hint="eastAsia" w:ascii="宋体" w:hAnsi="宋体" w:eastAsia="宋体" w:cs="宋体"/>
          <w:color w:val="auto"/>
          <w:spacing w:val="0"/>
          <w:sz w:val="21"/>
          <w:szCs w:val="21"/>
          <w:highlight w:val="none"/>
        </w:rPr>
        <w:t>在</w:t>
      </w:r>
      <w:r>
        <w:rPr>
          <w:rFonts w:hint="eastAsia" w:ascii="宋体" w:hAnsi="宋体" w:eastAsia="宋体" w:cs="宋体"/>
          <w:color w:val="auto"/>
          <w:spacing w:val="0"/>
          <w:sz w:val="21"/>
          <w:szCs w:val="21"/>
          <w:highlight w:val="none"/>
          <w:lang w:val="en-US" w:eastAsia="zh-CN"/>
        </w:rPr>
        <w:t>本</w:t>
      </w:r>
      <w:r>
        <w:rPr>
          <w:rFonts w:hint="eastAsia" w:ascii="宋体" w:hAnsi="宋体" w:eastAsia="宋体" w:cs="宋体"/>
          <w:color w:val="auto"/>
          <w:spacing w:val="0"/>
          <w:sz w:val="21"/>
          <w:szCs w:val="21"/>
          <w:highlight w:val="none"/>
        </w:rPr>
        <w:t>协议期限内，若甲方</w:t>
      </w:r>
      <w:r>
        <w:rPr>
          <w:rFonts w:hint="eastAsia" w:ascii="宋体" w:hAnsi="宋体" w:eastAsia="宋体" w:cs="宋体"/>
          <w:color w:val="auto"/>
          <w:spacing w:val="0"/>
          <w:sz w:val="21"/>
          <w:szCs w:val="21"/>
          <w:highlight w:val="none"/>
          <w:lang w:val="en-US" w:eastAsia="zh-CN"/>
        </w:rPr>
        <w:t>或甲方委托方</w:t>
      </w:r>
      <w:r>
        <w:rPr>
          <w:rFonts w:hint="eastAsia" w:ascii="宋体" w:hAnsi="宋体" w:eastAsia="宋体" w:cs="宋体"/>
          <w:color w:val="auto"/>
          <w:spacing w:val="0"/>
          <w:sz w:val="21"/>
          <w:szCs w:val="21"/>
          <w:highlight w:val="none"/>
        </w:rPr>
        <w:t>需要出售</w:t>
      </w:r>
      <w:r>
        <w:rPr>
          <w:rFonts w:hint="eastAsia" w:ascii="宋体" w:hAnsi="宋体" w:eastAsia="宋体" w:cs="宋体"/>
          <w:color w:val="auto"/>
          <w:spacing w:val="0"/>
          <w:sz w:val="21"/>
          <w:szCs w:val="21"/>
          <w:highlight w:val="none"/>
          <w:lang w:val="en-US" w:eastAsia="zh-CN"/>
        </w:rPr>
        <w:t>项目所在地</w:t>
      </w:r>
      <w:r>
        <w:rPr>
          <w:rFonts w:hint="eastAsia" w:ascii="宋体" w:hAnsi="宋体" w:eastAsia="宋体" w:cs="宋体"/>
          <w:color w:val="auto"/>
          <w:spacing w:val="0"/>
          <w:sz w:val="21"/>
          <w:szCs w:val="21"/>
          <w:highlight w:val="none"/>
        </w:rPr>
        <w:t>建筑物</w:t>
      </w:r>
      <w:r>
        <w:rPr>
          <w:rFonts w:hint="eastAsia" w:ascii="宋体" w:hAnsi="宋体" w:eastAsia="宋体" w:cs="宋体"/>
          <w:color w:val="auto"/>
          <w:spacing w:val="0"/>
          <w:sz w:val="21"/>
          <w:szCs w:val="21"/>
          <w:highlight w:val="none"/>
          <w:lang w:val="en-US" w:eastAsia="zh-CN"/>
        </w:rPr>
        <w:t>或停车场的</w:t>
      </w:r>
      <w:r>
        <w:rPr>
          <w:rFonts w:hint="eastAsia" w:ascii="宋体" w:hAnsi="宋体" w:eastAsia="宋体" w:cs="宋体"/>
          <w:color w:val="auto"/>
          <w:spacing w:val="0"/>
          <w:sz w:val="21"/>
          <w:szCs w:val="21"/>
          <w:highlight w:val="none"/>
        </w:rPr>
        <w:t>，或将建筑物</w:t>
      </w:r>
      <w:r>
        <w:rPr>
          <w:rFonts w:hint="eastAsia" w:ascii="宋体" w:hAnsi="宋体" w:eastAsia="宋体" w:cs="宋体"/>
          <w:color w:val="auto"/>
          <w:spacing w:val="0"/>
          <w:sz w:val="21"/>
          <w:szCs w:val="21"/>
          <w:highlight w:val="none"/>
          <w:lang w:val="en-US" w:eastAsia="zh-CN"/>
        </w:rPr>
        <w:t>或停车场</w:t>
      </w:r>
      <w:r>
        <w:rPr>
          <w:rFonts w:hint="eastAsia" w:ascii="宋体" w:hAnsi="宋体" w:eastAsia="宋体" w:cs="宋体"/>
          <w:color w:val="auto"/>
          <w:spacing w:val="0"/>
          <w:sz w:val="21"/>
          <w:szCs w:val="21"/>
          <w:highlight w:val="none"/>
        </w:rPr>
        <w:t>赠与、互易、设立抵押权等造成建筑物</w:t>
      </w:r>
      <w:r>
        <w:rPr>
          <w:rFonts w:hint="eastAsia" w:ascii="宋体" w:hAnsi="宋体" w:eastAsia="宋体" w:cs="宋体"/>
          <w:color w:val="auto"/>
          <w:spacing w:val="0"/>
          <w:sz w:val="21"/>
          <w:szCs w:val="21"/>
          <w:highlight w:val="none"/>
          <w:lang w:val="en-US" w:eastAsia="zh-CN"/>
        </w:rPr>
        <w:t>或停车场</w:t>
      </w:r>
      <w:r>
        <w:rPr>
          <w:rFonts w:hint="eastAsia" w:ascii="宋体" w:hAnsi="宋体" w:eastAsia="宋体" w:cs="宋体"/>
          <w:color w:val="auto"/>
          <w:spacing w:val="0"/>
          <w:sz w:val="21"/>
          <w:szCs w:val="21"/>
          <w:highlight w:val="none"/>
        </w:rPr>
        <w:t>所有权发生变动时，应不影响乙方</w:t>
      </w:r>
      <w:r>
        <w:rPr>
          <w:rFonts w:hint="eastAsia" w:ascii="宋体" w:hAnsi="宋体" w:eastAsia="宋体" w:cs="宋体"/>
          <w:color w:val="auto"/>
          <w:spacing w:val="0"/>
          <w:sz w:val="21"/>
          <w:szCs w:val="21"/>
          <w:highlight w:val="none"/>
          <w:lang w:val="en-US" w:eastAsia="zh-CN"/>
        </w:rPr>
        <w:t>储能</w:t>
      </w:r>
      <w:r>
        <w:rPr>
          <w:rFonts w:hint="eastAsia" w:ascii="宋体" w:hAnsi="宋体" w:eastAsia="宋体" w:cs="宋体"/>
          <w:color w:val="auto"/>
          <w:spacing w:val="0"/>
          <w:sz w:val="21"/>
          <w:szCs w:val="21"/>
          <w:highlight w:val="none"/>
        </w:rPr>
        <w:t>项目</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lang w:val="en-US" w:eastAsia="zh-CN"/>
        </w:rPr>
        <w:t>充电站</w:t>
      </w:r>
      <w:r>
        <w:rPr>
          <w:rFonts w:hint="eastAsia" w:ascii="宋体" w:hAnsi="宋体" w:eastAsia="宋体" w:cs="宋体"/>
          <w:color w:val="auto"/>
          <w:spacing w:val="0"/>
          <w:sz w:val="21"/>
          <w:szCs w:val="21"/>
          <w:highlight w:val="none"/>
        </w:rPr>
        <w:t>正常运转情况下继续履行协议，否则甲方应提前六十(60)日以书面形式通知乙方，甲方</w:t>
      </w:r>
      <w:r>
        <w:rPr>
          <w:rFonts w:hint="eastAsia" w:ascii="宋体" w:hAnsi="宋体" w:eastAsia="宋体" w:cs="宋体"/>
          <w:color w:val="auto"/>
          <w:sz w:val="21"/>
          <w:szCs w:val="21"/>
          <w:highlight w:val="none"/>
          <w:lang w:val="en-US" w:eastAsia="zh-CN"/>
        </w:rPr>
        <w:t>尽最大可能使</w:t>
      </w:r>
      <w:r>
        <w:rPr>
          <w:rFonts w:hint="eastAsia" w:ascii="宋体" w:hAnsi="宋体" w:eastAsia="宋体" w:cs="宋体"/>
          <w:color w:val="auto"/>
          <w:spacing w:val="0"/>
          <w:sz w:val="21"/>
          <w:szCs w:val="21"/>
          <w:highlight w:val="none"/>
          <w:lang w:val="en-US" w:eastAsia="zh-CN"/>
        </w:rPr>
        <w:t>项目所在地</w:t>
      </w:r>
      <w:r>
        <w:rPr>
          <w:rFonts w:hint="eastAsia" w:ascii="宋体" w:hAnsi="宋体" w:eastAsia="宋体" w:cs="宋体"/>
          <w:color w:val="auto"/>
          <w:spacing w:val="0"/>
          <w:sz w:val="21"/>
          <w:szCs w:val="21"/>
          <w:highlight w:val="none"/>
        </w:rPr>
        <w:t>建筑物</w:t>
      </w:r>
      <w:r>
        <w:rPr>
          <w:rFonts w:hint="eastAsia" w:ascii="宋体" w:hAnsi="宋体" w:eastAsia="宋体" w:cs="宋体"/>
          <w:color w:val="auto"/>
          <w:spacing w:val="0"/>
          <w:sz w:val="21"/>
          <w:szCs w:val="21"/>
          <w:highlight w:val="none"/>
          <w:lang w:val="en-US" w:eastAsia="zh-CN"/>
        </w:rPr>
        <w:t>或停车场</w:t>
      </w:r>
      <w:r>
        <w:rPr>
          <w:rFonts w:hint="eastAsia" w:ascii="宋体" w:hAnsi="宋体" w:eastAsia="宋体" w:cs="宋体"/>
          <w:color w:val="auto"/>
          <w:spacing w:val="0"/>
          <w:sz w:val="21"/>
          <w:szCs w:val="21"/>
          <w:highlight w:val="none"/>
        </w:rPr>
        <w:t>的受让方、抵押权人或者实际所有权人同时受让本协议，并同意承担本协议下甲方承担的所有义务。</w:t>
      </w:r>
    </w:p>
    <w:p w14:paraId="635A26E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0"/>
          <w:sz w:val="21"/>
          <w:szCs w:val="21"/>
          <w:highlight w:val="none"/>
          <w:lang w:val="en-US" w:eastAsia="zh-CN"/>
        </w:rPr>
        <w:t>4.9</w:t>
      </w:r>
      <w:r>
        <w:rPr>
          <w:rFonts w:hint="eastAsia" w:ascii="宋体" w:hAnsi="宋体" w:eastAsia="宋体" w:cs="宋体"/>
          <w:color w:val="auto"/>
          <w:spacing w:val="0"/>
          <w:sz w:val="21"/>
          <w:szCs w:val="21"/>
          <w:highlight w:val="none"/>
        </w:rPr>
        <w:t>项目建设完工后，甲方应积极配合并及时协助乙方完成项目试运行与验收</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甲乙双方对国家有关部门(含电网公司)的最终验收意见应予以认可。</w:t>
      </w:r>
    </w:p>
    <w:p w14:paraId="54DDAEF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第五节：乙方权利与义务</w:t>
      </w:r>
    </w:p>
    <w:p w14:paraId="5ECE583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5.1乙方负责办理政府许可文件和电网接入批复，起草项目方案并提交甲方审核，相关费用由乙方承担。</w:t>
      </w:r>
    </w:p>
    <w:p w14:paraId="7A60702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5.2乙方不得随意改变</w:t>
      </w:r>
      <w:r>
        <w:rPr>
          <w:rFonts w:hint="eastAsia" w:ascii="宋体" w:hAnsi="宋体" w:eastAsia="宋体" w:cs="宋体"/>
          <w:color w:val="auto"/>
          <w:sz w:val="21"/>
          <w:szCs w:val="21"/>
          <w:highlight w:val="none"/>
          <w:lang w:val="en-US" w:eastAsia="zh-CN"/>
        </w:rPr>
        <w:t>公共区域</w:t>
      </w:r>
      <w:r>
        <w:rPr>
          <w:rFonts w:hint="eastAsia" w:ascii="宋体" w:hAnsi="宋体" w:eastAsia="宋体" w:cs="宋体"/>
          <w:color w:val="auto"/>
          <w:sz w:val="21"/>
          <w:szCs w:val="21"/>
          <w:highlight w:val="none"/>
        </w:rPr>
        <w:t>现状和附着物，不破坏</w:t>
      </w:r>
      <w:r>
        <w:rPr>
          <w:rFonts w:hint="eastAsia" w:ascii="宋体" w:hAnsi="宋体" w:eastAsia="宋体" w:cs="宋体"/>
          <w:color w:val="auto"/>
          <w:sz w:val="21"/>
          <w:szCs w:val="21"/>
          <w:highlight w:val="none"/>
          <w:lang w:val="en-US" w:eastAsia="zh-CN"/>
        </w:rPr>
        <w:t>市政官网等设施</w:t>
      </w:r>
      <w:r>
        <w:rPr>
          <w:rFonts w:hint="eastAsia" w:ascii="宋体" w:hAnsi="宋体" w:eastAsia="宋体" w:cs="宋体"/>
          <w:color w:val="auto"/>
          <w:sz w:val="21"/>
          <w:szCs w:val="21"/>
          <w:highlight w:val="none"/>
        </w:rPr>
        <w:t>。</w:t>
      </w:r>
    </w:p>
    <w:p w14:paraId="568B4D3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5.3乙方负责项目</w:t>
      </w:r>
      <w:r>
        <w:rPr>
          <w:rFonts w:hint="eastAsia" w:ascii="宋体" w:hAnsi="宋体" w:eastAsia="宋体" w:cs="宋体"/>
          <w:color w:val="auto"/>
          <w:sz w:val="21"/>
          <w:szCs w:val="21"/>
          <w:highlight w:val="none"/>
          <w:lang w:val="en-US" w:eastAsia="zh-CN"/>
        </w:rPr>
        <w:t>投建、运营及</w:t>
      </w:r>
      <w:r>
        <w:rPr>
          <w:rFonts w:hint="eastAsia" w:ascii="宋体" w:hAnsi="宋体" w:eastAsia="宋体" w:cs="宋体"/>
          <w:color w:val="auto"/>
          <w:sz w:val="21"/>
          <w:szCs w:val="21"/>
          <w:highlight w:val="none"/>
        </w:rPr>
        <w:t>检修维护和故障处理，并承担所发生费用。</w:t>
      </w:r>
    </w:p>
    <w:p w14:paraId="7191DDA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5.4乙方</w:t>
      </w:r>
      <w:r>
        <w:rPr>
          <w:rFonts w:hint="eastAsia" w:ascii="宋体" w:hAnsi="宋体" w:eastAsia="宋体" w:cs="宋体"/>
          <w:b/>
          <w:bCs/>
          <w:color w:val="auto"/>
          <w:sz w:val="21"/>
          <w:szCs w:val="21"/>
          <w:highlight w:val="none"/>
          <w:lang w:eastAsia="zh-CN"/>
        </w:rPr>
        <w:t>承担项目运营和生产经营风险，发生安全事故等事故或者侵犯第三人权益的，均由乙方承担责任，乙方</w:t>
      </w:r>
      <w:r>
        <w:rPr>
          <w:rFonts w:hint="eastAsia" w:ascii="宋体" w:hAnsi="宋体" w:eastAsia="宋体" w:cs="宋体"/>
          <w:b/>
          <w:bCs/>
          <w:color w:val="auto"/>
          <w:sz w:val="21"/>
          <w:szCs w:val="21"/>
          <w:highlight w:val="none"/>
        </w:rPr>
        <w:t>承诺电站接入性能符合国家要求，不影响甲方电气设备的安全运行；承诺相关设备在噪音、辐射等方面对甲方</w:t>
      </w:r>
      <w:r>
        <w:rPr>
          <w:rFonts w:hint="eastAsia" w:ascii="宋体" w:hAnsi="宋体" w:eastAsia="宋体" w:cs="宋体"/>
          <w:b/>
          <w:bCs/>
          <w:color w:val="auto"/>
          <w:sz w:val="21"/>
          <w:szCs w:val="21"/>
          <w:highlight w:val="none"/>
          <w:lang w:eastAsia="zh-CN"/>
        </w:rPr>
        <w:t>及</w:t>
      </w:r>
      <w:r>
        <w:rPr>
          <w:rFonts w:hint="eastAsia" w:ascii="宋体" w:hAnsi="宋体" w:eastAsia="宋体" w:cs="宋体"/>
          <w:b/>
          <w:bCs/>
          <w:color w:val="auto"/>
          <w:sz w:val="21"/>
          <w:szCs w:val="21"/>
          <w:highlight w:val="none"/>
          <w:lang w:val="en-US" w:eastAsia="zh-CN"/>
        </w:rPr>
        <w:t>相关方</w:t>
      </w:r>
      <w:r>
        <w:rPr>
          <w:rFonts w:hint="eastAsia" w:ascii="宋体" w:hAnsi="宋体" w:eastAsia="宋体" w:cs="宋体"/>
          <w:b/>
          <w:bCs/>
          <w:color w:val="auto"/>
          <w:sz w:val="21"/>
          <w:szCs w:val="21"/>
          <w:highlight w:val="none"/>
        </w:rPr>
        <w:t>没有影响</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若产生不良后果，乙方承担全部责任。</w:t>
      </w:r>
    </w:p>
    <w:p w14:paraId="7083B3A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5.5项目</w:t>
      </w:r>
      <w:r>
        <w:rPr>
          <w:rFonts w:hint="eastAsia" w:ascii="宋体" w:hAnsi="宋体" w:eastAsia="宋体" w:cs="宋体"/>
          <w:color w:val="auto"/>
          <w:sz w:val="21"/>
          <w:szCs w:val="21"/>
          <w:highlight w:val="none"/>
          <w:lang w:val="en-US" w:eastAsia="zh-CN"/>
        </w:rPr>
        <w:t>建设、</w:t>
      </w:r>
      <w:r>
        <w:rPr>
          <w:rFonts w:hint="eastAsia" w:ascii="宋体" w:hAnsi="宋体" w:eastAsia="宋体" w:cs="宋体"/>
          <w:color w:val="auto"/>
          <w:sz w:val="21"/>
          <w:szCs w:val="21"/>
          <w:highlight w:val="none"/>
        </w:rPr>
        <w:t>安装及运行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检修维护</w:t>
      </w:r>
      <w:r>
        <w:rPr>
          <w:rFonts w:hint="eastAsia" w:ascii="宋体" w:hAnsi="宋体" w:eastAsia="宋体" w:cs="宋体"/>
          <w:color w:val="auto"/>
          <w:sz w:val="21"/>
          <w:szCs w:val="21"/>
          <w:highlight w:val="none"/>
        </w:rPr>
        <w:t>期间出现任何安全事故，由乙方承担全部责任。</w:t>
      </w:r>
    </w:p>
    <w:p w14:paraId="6902788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b w:val="0"/>
          <w:color w:val="auto"/>
          <w:spacing w:val="0"/>
          <w:kern w:val="2"/>
          <w:sz w:val="21"/>
          <w:szCs w:val="21"/>
          <w:highlight w:val="none"/>
        </w:rPr>
      </w:pPr>
      <w:r>
        <w:rPr>
          <w:rFonts w:hint="eastAsia" w:ascii="宋体" w:hAnsi="宋体" w:eastAsia="宋体" w:cs="宋体"/>
          <w:b w:val="0"/>
          <w:color w:val="auto"/>
          <w:spacing w:val="0"/>
          <w:kern w:val="2"/>
          <w:sz w:val="21"/>
          <w:szCs w:val="21"/>
          <w:highlight w:val="none"/>
          <w:lang w:val="en-US" w:eastAsia="zh-CN"/>
        </w:rPr>
        <w:t>5.6</w:t>
      </w:r>
      <w:r>
        <w:rPr>
          <w:rFonts w:hint="eastAsia" w:ascii="宋体" w:hAnsi="宋体" w:eastAsia="宋体" w:cs="宋体"/>
          <w:b w:val="0"/>
          <w:color w:val="auto"/>
          <w:spacing w:val="0"/>
          <w:kern w:val="2"/>
          <w:sz w:val="21"/>
          <w:szCs w:val="21"/>
          <w:highlight w:val="none"/>
        </w:rPr>
        <w:t>合同期限内，乙方在甲方</w:t>
      </w:r>
      <w:r>
        <w:rPr>
          <w:rFonts w:hint="eastAsia" w:ascii="宋体" w:hAnsi="宋体" w:eastAsia="宋体" w:cs="宋体"/>
          <w:b w:val="0"/>
          <w:color w:val="auto"/>
          <w:spacing w:val="0"/>
          <w:kern w:val="2"/>
          <w:sz w:val="21"/>
          <w:szCs w:val="21"/>
          <w:highlight w:val="none"/>
          <w:lang w:val="en-US" w:eastAsia="zh-CN"/>
        </w:rPr>
        <w:t>书面</w:t>
      </w:r>
      <w:r>
        <w:rPr>
          <w:rFonts w:hint="eastAsia" w:ascii="宋体" w:hAnsi="宋体" w:eastAsia="宋体" w:cs="宋体"/>
          <w:b w:val="0"/>
          <w:color w:val="auto"/>
          <w:spacing w:val="0"/>
          <w:kern w:val="2"/>
          <w:sz w:val="21"/>
          <w:szCs w:val="21"/>
          <w:highlight w:val="none"/>
        </w:rPr>
        <w:t>同意后可转让项目资产。在同等条件下，甲方有优先购买权。</w:t>
      </w:r>
      <w:r>
        <w:rPr>
          <w:rFonts w:hint="eastAsia" w:ascii="宋体" w:hAnsi="宋体" w:eastAsia="宋体" w:cs="宋体"/>
          <w:b w:val="0"/>
          <w:color w:val="auto"/>
          <w:spacing w:val="0"/>
          <w:kern w:val="2"/>
          <w:sz w:val="21"/>
          <w:szCs w:val="21"/>
          <w:highlight w:val="none"/>
          <w:lang w:val="en-US" w:eastAsia="zh-CN"/>
        </w:rPr>
        <w:t>若</w:t>
      </w:r>
      <w:r>
        <w:rPr>
          <w:rFonts w:hint="eastAsia" w:ascii="宋体" w:hAnsi="宋体" w:eastAsia="宋体" w:cs="宋体"/>
          <w:b w:val="0"/>
          <w:color w:val="auto"/>
          <w:spacing w:val="0"/>
          <w:kern w:val="2"/>
          <w:sz w:val="21"/>
          <w:szCs w:val="21"/>
          <w:highlight w:val="none"/>
        </w:rPr>
        <w:t>甲方同意乙方向任何第三人转让项目资产时，乙方在本合同项下的权利义务由该受让项目资产的第三人承继。</w:t>
      </w:r>
    </w:p>
    <w:p w14:paraId="78D51BB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lang w:val="en-US" w:eastAsia="zh-CN"/>
        </w:rPr>
        <w:t xml:space="preserve">5.7 </w:t>
      </w:r>
      <w:r>
        <w:rPr>
          <w:rFonts w:hint="eastAsia" w:ascii="宋体" w:hAnsi="宋体" w:eastAsia="宋体" w:cs="宋体"/>
          <w:color w:val="auto"/>
          <w:spacing w:val="0"/>
          <w:sz w:val="21"/>
          <w:szCs w:val="21"/>
          <w:highlight w:val="none"/>
        </w:rPr>
        <w:t>在</w:t>
      </w:r>
      <w:r>
        <w:rPr>
          <w:rFonts w:hint="eastAsia" w:ascii="宋体" w:hAnsi="宋体" w:eastAsia="宋体" w:cs="宋体"/>
          <w:color w:val="auto"/>
          <w:spacing w:val="0"/>
          <w:sz w:val="21"/>
          <w:szCs w:val="21"/>
          <w:highlight w:val="none"/>
          <w:u w:val="single"/>
          <w:lang w:val="en-US" w:eastAsia="zh-CN"/>
        </w:rPr>
        <w:t xml:space="preserve">20 </w:t>
      </w:r>
      <w:r>
        <w:rPr>
          <w:rFonts w:hint="eastAsia" w:ascii="宋体" w:hAnsi="宋体" w:eastAsia="宋体" w:cs="宋体"/>
          <w:color w:val="auto"/>
          <w:spacing w:val="0"/>
          <w:sz w:val="21"/>
          <w:szCs w:val="21"/>
          <w:highlight w:val="none"/>
        </w:rPr>
        <w:t>年的运营期结束后，经双方协商</w:t>
      </w:r>
      <w:r>
        <w:rPr>
          <w:rFonts w:hint="eastAsia" w:ascii="宋体" w:hAnsi="宋体" w:eastAsia="宋体" w:cs="宋体"/>
          <w:color w:val="auto"/>
          <w:spacing w:val="0"/>
          <w:sz w:val="21"/>
          <w:szCs w:val="21"/>
          <w:highlight w:val="none"/>
          <w:lang w:val="en-US" w:eastAsia="zh-CN"/>
        </w:rPr>
        <w:t>续</w:t>
      </w:r>
      <w:r>
        <w:rPr>
          <w:rFonts w:hint="eastAsia" w:ascii="宋体" w:hAnsi="宋体" w:eastAsia="宋体" w:cs="宋体"/>
          <w:color w:val="auto"/>
          <w:spacing w:val="0"/>
          <w:sz w:val="21"/>
          <w:szCs w:val="21"/>
          <w:highlight w:val="none"/>
        </w:rPr>
        <w:t>签协议后乙方可优先继续建设或改造该项目。若甲乙双方均无意</w:t>
      </w:r>
      <w:r>
        <w:rPr>
          <w:rFonts w:hint="eastAsia" w:ascii="宋体" w:hAnsi="宋体" w:eastAsia="宋体" w:cs="宋体"/>
          <w:color w:val="auto"/>
          <w:spacing w:val="0"/>
          <w:sz w:val="21"/>
          <w:szCs w:val="21"/>
          <w:highlight w:val="none"/>
          <w:lang w:val="en-US" w:eastAsia="zh-CN"/>
        </w:rPr>
        <w:t>续签</w:t>
      </w:r>
      <w:r>
        <w:rPr>
          <w:rFonts w:hint="eastAsia" w:ascii="宋体" w:hAnsi="宋体" w:eastAsia="宋体" w:cs="宋体"/>
          <w:color w:val="auto"/>
          <w:spacing w:val="0"/>
          <w:sz w:val="21"/>
          <w:szCs w:val="21"/>
          <w:highlight w:val="none"/>
        </w:rPr>
        <w:t>的，乙方负责将项目资产设备拆除，或以双方都接受的方式和对价转让给甲方（按照国资监管程序）。</w:t>
      </w:r>
    </w:p>
    <w:p w14:paraId="651846F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color w:val="auto"/>
          <w:sz w:val="21"/>
          <w:szCs w:val="21"/>
          <w:highlight w:val="none"/>
        </w:rPr>
        <w:t>第六节：</w:t>
      </w:r>
      <w:r>
        <w:rPr>
          <w:rFonts w:hint="eastAsia" w:ascii="宋体" w:hAnsi="宋体" w:eastAsia="宋体" w:cs="宋体"/>
          <w:color w:val="auto"/>
          <w:sz w:val="21"/>
          <w:szCs w:val="21"/>
          <w:highlight w:val="none"/>
          <w:lang w:val="en-US" w:eastAsia="zh-CN"/>
        </w:rPr>
        <w:t>公共区域</w:t>
      </w:r>
      <w:r>
        <w:rPr>
          <w:rFonts w:hint="eastAsia" w:ascii="宋体" w:hAnsi="宋体" w:eastAsia="宋体" w:cs="宋体"/>
          <w:b w:val="0"/>
          <w:color w:val="auto"/>
          <w:sz w:val="21"/>
          <w:szCs w:val="21"/>
          <w:highlight w:val="none"/>
        </w:rPr>
        <w:t>的维护和使用</w:t>
      </w:r>
    </w:p>
    <w:p w14:paraId="744102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6.1甲方负责</w:t>
      </w:r>
      <w:r>
        <w:rPr>
          <w:rFonts w:hint="eastAsia" w:ascii="宋体" w:hAnsi="宋体" w:eastAsia="宋体" w:cs="宋体"/>
          <w:color w:val="auto"/>
          <w:spacing w:val="0"/>
          <w:sz w:val="21"/>
          <w:szCs w:val="21"/>
          <w:highlight w:val="none"/>
          <w:lang w:val="en-US" w:eastAsia="zh-CN"/>
        </w:rPr>
        <w:t>大数据交易中心</w:t>
      </w:r>
      <w:r>
        <w:rPr>
          <w:rFonts w:hint="eastAsia" w:ascii="宋体" w:hAnsi="宋体" w:eastAsia="宋体" w:cs="宋体"/>
          <w:color w:val="auto"/>
          <w:sz w:val="21"/>
          <w:szCs w:val="21"/>
          <w:highlight w:val="none"/>
          <w:lang w:val="en-US" w:eastAsia="zh-CN"/>
        </w:rPr>
        <w:t>公共区域</w:t>
      </w:r>
      <w:r>
        <w:rPr>
          <w:rFonts w:hint="eastAsia" w:ascii="宋体" w:hAnsi="宋体" w:eastAsia="宋体" w:cs="宋体"/>
          <w:color w:val="auto"/>
          <w:sz w:val="21"/>
          <w:szCs w:val="21"/>
          <w:highlight w:val="none"/>
        </w:rPr>
        <w:t>的正常维护和保养，甲方对</w:t>
      </w:r>
      <w:r>
        <w:rPr>
          <w:rFonts w:hint="eastAsia" w:ascii="宋体" w:hAnsi="宋体" w:eastAsia="宋体" w:cs="宋体"/>
          <w:color w:val="auto"/>
          <w:sz w:val="21"/>
          <w:szCs w:val="21"/>
          <w:highlight w:val="none"/>
          <w:lang w:val="en-US" w:eastAsia="zh-CN"/>
        </w:rPr>
        <w:t>项目使用场地</w:t>
      </w:r>
      <w:r>
        <w:rPr>
          <w:rFonts w:hint="eastAsia" w:ascii="宋体" w:hAnsi="宋体" w:eastAsia="宋体" w:cs="宋体"/>
          <w:color w:val="auto"/>
          <w:sz w:val="21"/>
          <w:szCs w:val="21"/>
          <w:highlight w:val="none"/>
        </w:rPr>
        <w:t>进行维护需提前三个工作日通知乙方。在维护过程中如有损坏乙方设施设备的，甲方须及时维修并赔偿由此造成的乙方</w:t>
      </w:r>
      <w:r>
        <w:rPr>
          <w:rFonts w:hint="eastAsia" w:ascii="宋体" w:hAnsi="宋体" w:eastAsia="宋体" w:cs="宋体"/>
          <w:color w:val="auto"/>
          <w:sz w:val="21"/>
          <w:szCs w:val="21"/>
          <w:highlight w:val="none"/>
          <w:lang w:val="en-US" w:eastAsia="zh-CN"/>
        </w:rPr>
        <w:t>设备设施的维修、更换费用等</w:t>
      </w:r>
      <w:r>
        <w:rPr>
          <w:rFonts w:hint="eastAsia" w:ascii="宋体" w:hAnsi="宋体" w:eastAsia="宋体" w:cs="宋体"/>
          <w:color w:val="auto"/>
          <w:sz w:val="21"/>
          <w:szCs w:val="21"/>
          <w:highlight w:val="none"/>
        </w:rPr>
        <w:t>直接损失。</w:t>
      </w:r>
    </w:p>
    <w:p w14:paraId="60A2EC1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6.2甲方的雇员或其聘请的任何第三方进入协议</w:t>
      </w:r>
      <w:r>
        <w:rPr>
          <w:rFonts w:hint="eastAsia" w:ascii="宋体" w:hAnsi="宋体" w:eastAsia="宋体" w:cs="宋体"/>
          <w:color w:val="auto"/>
          <w:sz w:val="21"/>
          <w:szCs w:val="21"/>
          <w:highlight w:val="none"/>
          <w:lang w:val="en-US" w:eastAsia="zh-CN"/>
        </w:rPr>
        <w:t>中乙方安装的设备区域</w:t>
      </w:r>
      <w:r>
        <w:rPr>
          <w:rFonts w:hint="eastAsia" w:ascii="宋体" w:hAnsi="宋体" w:eastAsia="宋体" w:cs="宋体"/>
          <w:color w:val="auto"/>
          <w:sz w:val="21"/>
          <w:szCs w:val="21"/>
          <w:highlight w:val="none"/>
          <w:lang w:eastAsia="zh-CN"/>
        </w:rPr>
        <w:t>进行</w:t>
      </w:r>
      <w:r>
        <w:rPr>
          <w:rFonts w:hint="eastAsia" w:ascii="宋体" w:hAnsi="宋体" w:eastAsia="宋体" w:cs="宋体"/>
          <w:color w:val="auto"/>
          <w:sz w:val="21"/>
          <w:szCs w:val="21"/>
          <w:highlight w:val="none"/>
        </w:rPr>
        <w:t>作业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乙方派驻人员应进行陪同，以保证活动正常进行：</w:t>
      </w:r>
    </w:p>
    <w:p w14:paraId="0B55F6E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甲方不得将协议</w:t>
      </w:r>
      <w:r>
        <w:rPr>
          <w:rFonts w:hint="eastAsia" w:ascii="宋体" w:hAnsi="宋体" w:eastAsia="宋体" w:cs="宋体"/>
          <w:color w:val="auto"/>
          <w:sz w:val="21"/>
          <w:szCs w:val="21"/>
          <w:highlight w:val="none"/>
          <w:lang w:val="en-US" w:eastAsia="zh-CN"/>
        </w:rPr>
        <w:t>中乙方安装的设备区域场地</w:t>
      </w:r>
      <w:r>
        <w:rPr>
          <w:rFonts w:hint="eastAsia" w:ascii="宋体" w:hAnsi="宋体" w:eastAsia="宋体" w:cs="宋体"/>
          <w:color w:val="auto"/>
          <w:sz w:val="21"/>
          <w:szCs w:val="21"/>
          <w:highlight w:val="none"/>
        </w:rPr>
        <w:t>提供给其他任何第三方使用；</w:t>
      </w:r>
    </w:p>
    <w:p w14:paraId="5643E78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甲方不得</w:t>
      </w:r>
      <w:r>
        <w:rPr>
          <w:rFonts w:hint="eastAsia" w:ascii="宋体" w:hAnsi="宋体" w:eastAsia="宋体" w:cs="宋体"/>
          <w:color w:val="auto"/>
          <w:sz w:val="21"/>
          <w:szCs w:val="21"/>
          <w:highlight w:val="none"/>
          <w:lang w:val="en-US" w:eastAsia="zh-CN"/>
        </w:rPr>
        <w:t>未经乙方同意</w:t>
      </w:r>
      <w:r>
        <w:rPr>
          <w:rFonts w:hint="eastAsia" w:ascii="宋体" w:hAnsi="宋体" w:eastAsia="宋体" w:cs="宋体"/>
          <w:color w:val="auto"/>
          <w:sz w:val="21"/>
          <w:szCs w:val="21"/>
          <w:highlight w:val="none"/>
        </w:rPr>
        <w:t>对协议</w:t>
      </w:r>
      <w:bookmarkStart w:id="30" w:name="OLE_LINK1"/>
      <w:r>
        <w:rPr>
          <w:rFonts w:hint="eastAsia" w:ascii="宋体" w:hAnsi="宋体" w:eastAsia="宋体" w:cs="宋体"/>
          <w:color w:val="auto"/>
          <w:sz w:val="21"/>
          <w:szCs w:val="21"/>
          <w:highlight w:val="none"/>
          <w:lang w:val="en-US" w:eastAsia="zh-CN"/>
        </w:rPr>
        <w:t>中乙方安装的设备区域</w:t>
      </w:r>
      <w:bookmarkEnd w:id="30"/>
      <w:r>
        <w:rPr>
          <w:rFonts w:hint="eastAsia" w:ascii="宋体" w:hAnsi="宋体" w:eastAsia="宋体" w:cs="宋体"/>
          <w:color w:val="auto"/>
          <w:sz w:val="21"/>
          <w:szCs w:val="21"/>
          <w:highlight w:val="none"/>
        </w:rPr>
        <w:t>进行改造；</w:t>
      </w:r>
    </w:p>
    <w:p w14:paraId="50ABB9B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甲方不得从事其他可能影响协议</w:t>
      </w:r>
      <w:r>
        <w:rPr>
          <w:rFonts w:hint="eastAsia" w:ascii="宋体" w:hAnsi="宋体" w:eastAsia="宋体" w:cs="宋体"/>
          <w:color w:val="auto"/>
          <w:sz w:val="21"/>
          <w:szCs w:val="21"/>
          <w:highlight w:val="none"/>
          <w:lang w:val="en-US" w:eastAsia="zh-CN"/>
        </w:rPr>
        <w:t>中乙方安装的设备区域</w:t>
      </w:r>
      <w:r>
        <w:rPr>
          <w:rFonts w:hint="eastAsia" w:ascii="宋体" w:hAnsi="宋体" w:eastAsia="宋体" w:cs="宋体"/>
          <w:color w:val="auto"/>
          <w:sz w:val="21"/>
          <w:szCs w:val="21"/>
          <w:highlight w:val="none"/>
        </w:rPr>
        <w:t>安全的活动。</w:t>
      </w:r>
    </w:p>
    <w:p w14:paraId="64EF66A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6.3在投入运行的</w:t>
      </w:r>
      <w:r>
        <w:rPr>
          <w:rFonts w:hint="eastAsia" w:ascii="宋体" w:hAnsi="宋体" w:eastAsia="宋体" w:cs="宋体"/>
          <w:color w:val="auto"/>
          <w:sz w:val="21"/>
          <w:szCs w:val="21"/>
          <w:highlight w:val="none"/>
          <w:lang w:val="en-US" w:eastAsia="zh-CN"/>
        </w:rPr>
        <w:t>本协议</w:t>
      </w:r>
      <w:r>
        <w:rPr>
          <w:rFonts w:hint="eastAsia" w:ascii="宋体" w:hAnsi="宋体" w:eastAsia="宋体" w:cs="宋体"/>
          <w:color w:val="auto"/>
          <w:sz w:val="21"/>
          <w:szCs w:val="21"/>
          <w:highlight w:val="none"/>
        </w:rPr>
        <w:t>期限内，</w:t>
      </w:r>
      <w:r>
        <w:rPr>
          <w:rFonts w:hint="eastAsia" w:ascii="宋体" w:hAnsi="宋体" w:eastAsia="宋体" w:cs="宋体"/>
          <w:color w:val="auto"/>
          <w:sz w:val="21"/>
          <w:szCs w:val="21"/>
          <w:highlight w:val="none"/>
          <w:lang w:val="en-US" w:eastAsia="zh-CN"/>
        </w:rPr>
        <w:t>非甲</w:t>
      </w:r>
      <w:r>
        <w:rPr>
          <w:rFonts w:hint="eastAsia" w:ascii="宋体" w:hAnsi="宋体" w:eastAsia="宋体" w:cs="宋体"/>
          <w:color w:val="auto"/>
          <w:sz w:val="21"/>
          <w:szCs w:val="21"/>
          <w:highlight w:val="none"/>
        </w:rPr>
        <w:t>方对</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检修或维护保养过程中</w:t>
      </w:r>
      <w:r>
        <w:rPr>
          <w:rFonts w:hint="eastAsia" w:ascii="宋体" w:hAnsi="宋体" w:eastAsia="宋体" w:cs="宋体"/>
          <w:color w:val="auto"/>
          <w:sz w:val="21"/>
          <w:szCs w:val="21"/>
          <w:highlight w:val="none"/>
          <w:lang w:val="en-US" w:eastAsia="zh-CN"/>
        </w:rPr>
        <w:t>或由储充设施设备安装导致或引发</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场地</w:t>
      </w:r>
      <w:r>
        <w:rPr>
          <w:rFonts w:hint="eastAsia" w:ascii="宋体" w:hAnsi="宋体" w:eastAsia="宋体" w:cs="宋体"/>
          <w:color w:val="auto"/>
          <w:sz w:val="21"/>
          <w:szCs w:val="21"/>
          <w:highlight w:val="none"/>
        </w:rPr>
        <w:t>破损或漏水，</w:t>
      </w:r>
      <w:r>
        <w:rPr>
          <w:rFonts w:hint="eastAsia" w:ascii="宋体" w:hAnsi="宋体" w:eastAsia="宋体" w:cs="宋体"/>
          <w:color w:val="auto"/>
          <w:sz w:val="21"/>
          <w:szCs w:val="21"/>
          <w:highlight w:val="none"/>
          <w:lang w:eastAsia="zh-CN"/>
        </w:rPr>
        <w:t>甲</w:t>
      </w:r>
      <w:r>
        <w:rPr>
          <w:rFonts w:hint="eastAsia" w:ascii="宋体" w:hAnsi="宋体" w:eastAsia="宋体" w:cs="宋体"/>
          <w:color w:val="auto"/>
          <w:sz w:val="21"/>
          <w:szCs w:val="21"/>
          <w:highlight w:val="none"/>
        </w:rPr>
        <w:t>方</w:t>
      </w:r>
      <w:r>
        <w:rPr>
          <w:rFonts w:hint="eastAsia" w:ascii="宋体" w:hAnsi="宋体" w:eastAsia="宋体" w:cs="宋体"/>
          <w:color w:val="auto"/>
          <w:sz w:val="21"/>
          <w:szCs w:val="21"/>
          <w:highlight w:val="none"/>
          <w:lang w:val="en-US" w:eastAsia="zh-CN"/>
        </w:rPr>
        <w:t>不</w:t>
      </w:r>
      <w:r>
        <w:rPr>
          <w:rFonts w:hint="eastAsia" w:ascii="宋体" w:hAnsi="宋体" w:eastAsia="宋体" w:cs="宋体"/>
          <w:color w:val="auto"/>
          <w:sz w:val="21"/>
          <w:szCs w:val="21"/>
          <w:highlight w:val="none"/>
        </w:rPr>
        <w:t>承担</w:t>
      </w:r>
      <w:r>
        <w:rPr>
          <w:rFonts w:hint="eastAsia" w:ascii="宋体" w:hAnsi="宋体" w:eastAsia="宋体" w:cs="宋体"/>
          <w:color w:val="auto"/>
          <w:sz w:val="21"/>
          <w:szCs w:val="21"/>
          <w:highlight w:val="none"/>
          <w:lang w:val="en-US" w:eastAsia="zh-CN"/>
        </w:rPr>
        <w:t>相应责任</w:t>
      </w:r>
      <w:r>
        <w:rPr>
          <w:rFonts w:hint="eastAsia" w:ascii="宋体" w:hAnsi="宋体" w:eastAsia="宋体" w:cs="宋体"/>
          <w:color w:val="auto"/>
          <w:sz w:val="21"/>
          <w:szCs w:val="21"/>
          <w:highlight w:val="none"/>
        </w:rPr>
        <w:t>。</w:t>
      </w:r>
    </w:p>
    <w:p w14:paraId="0771733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如在投入运行的</w:t>
      </w:r>
      <w:r>
        <w:rPr>
          <w:rFonts w:hint="eastAsia" w:ascii="宋体" w:hAnsi="宋体" w:eastAsia="宋体" w:cs="宋体"/>
          <w:color w:val="auto"/>
          <w:sz w:val="21"/>
          <w:szCs w:val="21"/>
          <w:highlight w:val="none"/>
          <w:lang w:val="en-US" w:eastAsia="zh-CN"/>
        </w:rPr>
        <w:t>本协议</w:t>
      </w:r>
      <w:r>
        <w:rPr>
          <w:rFonts w:hint="eastAsia" w:ascii="宋体" w:hAnsi="宋体" w:eastAsia="宋体" w:cs="宋体"/>
          <w:color w:val="auto"/>
          <w:sz w:val="21"/>
          <w:szCs w:val="21"/>
          <w:highlight w:val="none"/>
        </w:rPr>
        <w:t>期限内，乙方对</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检修或维护保养过程中</w:t>
      </w:r>
      <w:r>
        <w:rPr>
          <w:rFonts w:hint="eastAsia" w:ascii="宋体" w:hAnsi="宋体" w:eastAsia="宋体" w:cs="宋体"/>
          <w:color w:val="auto"/>
          <w:sz w:val="21"/>
          <w:szCs w:val="21"/>
          <w:highlight w:val="none"/>
          <w:lang w:val="en-US" w:eastAsia="zh-CN"/>
        </w:rPr>
        <w:t>或由光储充相关设施设备安装导致或引发</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场地</w:t>
      </w:r>
      <w:r>
        <w:rPr>
          <w:rFonts w:hint="eastAsia" w:ascii="宋体" w:hAnsi="宋体" w:eastAsia="宋体" w:cs="宋体"/>
          <w:color w:val="auto"/>
          <w:sz w:val="21"/>
          <w:szCs w:val="21"/>
          <w:highlight w:val="none"/>
        </w:rPr>
        <w:t>破损或漏水，乙方应在1个月内对受损</w:t>
      </w:r>
      <w:r>
        <w:rPr>
          <w:rFonts w:hint="eastAsia" w:ascii="宋体" w:hAnsi="宋体" w:eastAsia="宋体" w:cs="宋体"/>
          <w:color w:val="auto"/>
          <w:sz w:val="21"/>
          <w:szCs w:val="21"/>
          <w:highlight w:val="none"/>
          <w:lang w:val="en-US" w:eastAsia="zh-CN"/>
        </w:rPr>
        <w:t>场地</w:t>
      </w:r>
      <w:r>
        <w:rPr>
          <w:rFonts w:hint="eastAsia" w:ascii="宋体" w:hAnsi="宋体" w:eastAsia="宋体" w:cs="宋体"/>
          <w:color w:val="auto"/>
          <w:sz w:val="21"/>
          <w:szCs w:val="21"/>
          <w:highlight w:val="none"/>
        </w:rPr>
        <w:t>进行修补，费用</w:t>
      </w:r>
      <w:r>
        <w:rPr>
          <w:rFonts w:hint="eastAsia" w:ascii="宋体" w:hAnsi="宋体" w:eastAsia="宋体" w:cs="宋体"/>
          <w:color w:val="auto"/>
          <w:sz w:val="21"/>
          <w:szCs w:val="21"/>
          <w:highlight w:val="none"/>
          <w:lang w:val="en-US" w:eastAsia="zh-CN"/>
        </w:rPr>
        <w:t>和责任</w:t>
      </w:r>
      <w:r>
        <w:rPr>
          <w:rFonts w:hint="eastAsia" w:ascii="宋体" w:hAnsi="宋体" w:eastAsia="宋体" w:cs="宋体"/>
          <w:color w:val="auto"/>
          <w:sz w:val="21"/>
          <w:szCs w:val="21"/>
          <w:highlight w:val="none"/>
        </w:rPr>
        <w:t>由乙方承担。</w:t>
      </w:r>
    </w:p>
    <w:p w14:paraId="08364F3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val="en-US"/>
        </w:rPr>
        <w:t>协议签订后</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val="en-US" w:eastAsia="zh-CN"/>
        </w:rPr>
        <w:t>协议</w:t>
      </w:r>
      <w:r>
        <w:rPr>
          <w:rFonts w:hint="eastAsia" w:ascii="宋体" w:hAnsi="宋体" w:eastAsia="宋体" w:cs="宋体"/>
          <w:color w:val="auto"/>
          <w:sz w:val="21"/>
          <w:szCs w:val="21"/>
          <w:highlight w:val="none"/>
        </w:rPr>
        <w:t>期限内，未经乙方书面同意，甲方不得</w:t>
      </w:r>
      <w:r>
        <w:rPr>
          <w:rFonts w:hint="eastAsia" w:ascii="宋体" w:hAnsi="宋体" w:eastAsia="宋体" w:cs="宋体"/>
          <w:color w:val="auto"/>
          <w:sz w:val="21"/>
          <w:szCs w:val="21"/>
          <w:highlight w:val="none"/>
          <w:lang w:val="en-US" w:eastAsia="zh-CN"/>
        </w:rPr>
        <w:t>以任何理由</w:t>
      </w:r>
      <w:r>
        <w:rPr>
          <w:rFonts w:hint="eastAsia" w:ascii="宋体" w:hAnsi="宋体" w:eastAsia="宋体" w:cs="宋体"/>
          <w:color w:val="auto"/>
          <w:sz w:val="21"/>
          <w:szCs w:val="21"/>
          <w:highlight w:val="none"/>
        </w:rPr>
        <w:t>对协议</w:t>
      </w:r>
      <w:r>
        <w:rPr>
          <w:rFonts w:hint="eastAsia" w:ascii="宋体" w:hAnsi="宋体" w:eastAsia="宋体" w:cs="宋体"/>
          <w:color w:val="auto"/>
          <w:sz w:val="21"/>
          <w:szCs w:val="21"/>
          <w:highlight w:val="none"/>
          <w:lang w:val="en-US" w:eastAsia="zh-CN"/>
        </w:rPr>
        <w:t>中</w:t>
      </w:r>
      <w:r>
        <w:rPr>
          <w:rFonts w:hint="eastAsia" w:ascii="宋体" w:hAnsi="宋体" w:eastAsia="宋体" w:cs="宋体"/>
          <w:color w:val="auto"/>
          <w:sz w:val="21"/>
          <w:szCs w:val="21"/>
          <w:highlight w:val="none"/>
        </w:rPr>
        <w:t>屋顶</w:t>
      </w:r>
      <w:r>
        <w:rPr>
          <w:rFonts w:hint="eastAsia" w:ascii="宋体" w:hAnsi="宋体" w:eastAsia="宋体" w:cs="宋体"/>
          <w:color w:val="auto"/>
          <w:sz w:val="21"/>
          <w:szCs w:val="21"/>
          <w:highlight w:val="none"/>
          <w:lang w:val="en-US" w:eastAsia="zh-CN"/>
        </w:rPr>
        <w:t>及乙方的设备设施区域</w:t>
      </w:r>
      <w:r>
        <w:rPr>
          <w:rFonts w:hint="eastAsia" w:ascii="宋体" w:hAnsi="宋体" w:eastAsia="宋体" w:cs="宋体"/>
          <w:color w:val="auto"/>
          <w:sz w:val="21"/>
          <w:szCs w:val="21"/>
          <w:highlight w:val="none"/>
        </w:rPr>
        <w:t>进行改造、拆迁或拆除。</w:t>
      </w:r>
    </w:p>
    <w:p w14:paraId="6C5BDA9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6.</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pacing w:val="0"/>
          <w:sz w:val="21"/>
          <w:szCs w:val="21"/>
          <w:highlight w:val="none"/>
        </w:rPr>
        <w:t>在本项目运行期间，乙方有权为优化项目方案、提高发电效益对项目进行改造，包括但不限于对相关设备或设施进行添加、替换、去除、改造，或者是对相关操作、维护程序和方法进行修改，但需征得甲方</w:t>
      </w:r>
      <w:r>
        <w:rPr>
          <w:rFonts w:hint="eastAsia" w:ascii="宋体" w:hAnsi="宋体" w:eastAsia="宋体" w:cs="宋体"/>
          <w:color w:val="auto"/>
          <w:spacing w:val="0"/>
          <w:sz w:val="21"/>
          <w:szCs w:val="21"/>
          <w:highlight w:val="none"/>
          <w:lang w:val="en-US" w:eastAsia="zh-CN"/>
        </w:rPr>
        <w:t>书面</w:t>
      </w:r>
      <w:r>
        <w:rPr>
          <w:rFonts w:hint="eastAsia" w:ascii="宋体" w:hAnsi="宋体" w:eastAsia="宋体" w:cs="宋体"/>
          <w:color w:val="auto"/>
          <w:spacing w:val="0"/>
          <w:sz w:val="21"/>
          <w:szCs w:val="21"/>
          <w:highlight w:val="none"/>
        </w:rPr>
        <w:t>同意。所有的改造费用</w:t>
      </w:r>
      <w:r>
        <w:rPr>
          <w:rFonts w:hint="eastAsia" w:ascii="宋体" w:hAnsi="宋体" w:eastAsia="宋体" w:cs="宋体"/>
          <w:color w:val="auto"/>
          <w:spacing w:val="0"/>
          <w:sz w:val="21"/>
          <w:szCs w:val="21"/>
          <w:highlight w:val="none"/>
          <w:lang w:val="en-US" w:eastAsia="zh-CN"/>
        </w:rPr>
        <w:t>及相关责任</w:t>
      </w:r>
      <w:r>
        <w:rPr>
          <w:rFonts w:hint="eastAsia" w:ascii="宋体" w:hAnsi="宋体" w:eastAsia="宋体" w:cs="宋体"/>
          <w:color w:val="auto"/>
          <w:spacing w:val="0"/>
          <w:sz w:val="21"/>
          <w:szCs w:val="21"/>
          <w:highlight w:val="none"/>
        </w:rPr>
        <w:t>由乙方承担，甲方应给予配合。</w:t>
      </w:r>
    </w:p>
    <w:p w14:paraId="28EF3EA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第七节：违约责任</w:t>
      </w:r>
    </w:p>
    <w:p w14:paraId="0F6A374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7.1如甲方单方面未及时向乙方月结支付</w:t>
      </w:r>
      <w:r>
        <w:rPr>
          <w:rFonts w:hint="eastAsia" w:ascii="宋体" w:hAnsi="宋体" w:eastAsia="宋体" w:cs="宋体"/>
          <w:color w:val="auto"/>
          <w:sz w:val="21"/>
          <w:szCs w:val="21"/>
          <w:highlight w:val="none"/>
          <w:lang w:val="en-US" w:eastAsia="zh-CN"/>
        </w:rPr>
        <w:t>储能</w:t>
      </w:r>
      <w:r>
        <w:rPr>
          <w:rFonts w:hint="eastAsia" w:ascii="宋体" w:hAnsi="宋体" w:eastAsia="宋体" w:cs="宋体"/>
          <w:color w:val="auto"/>
          <w:sz w:val="21"/>
          <w:szCs w:val="21"/>
          <w:highlight w:val="none"/>
        </w:rPr>
        <w:t>电费，则按全国银行间同业拆借中心发布的同期贷款市场报价利率向乙方支付违约金。</w:t>
      </w:r>
    </w:p>
    <w:p w14:paraId="5387BD6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7.2如乙方未按期支付</w:t>
      </w:r>
      <w:r>
        <w:rPr>
          <w:rFonts w:hint="eastAsia" w:ascii="宋体" w:hAnsi="宋体" w:eastAsia="宋体" w:cs="宋体"/>
          <w:color w:val="auto"/>
          <w:sz w:val="21"/>
          <w:szCs w:val="21"/>
          <w:highlight w:val="none"/>
          <w:lang w:val="en-US" w:eastAsia="zh-CN"/>
        </w:rPr>
        <w:t>光伏、储能、充电站相关收益的</w:t>
      </w:r>
      <w:r>
        <w:rPr>
          <w:rFonts w:hint="eastAsia" w:ascii="宋体" w:hAnsi="宋体" w:eastAsia="宋体" w:cs="宋体"/>
          <w:color w:val="auto"/>
          <w:sz w:val="21"/>
          <w:szCs w:val="21"/>
          <w:highlight w:val="none"/>
        </w:rPr>
        <w:t>，按全国银行间同业拆借中心发布的同期贷款市场报价利率向甲方支付违约金。</w:t>
      </w:r>
    </w:p>
    <w:p w14:paraId="770D9F4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7.3如甲方擅自解除合同，提前收回</w:t>
      </w:r>
      <w:r>
        <w:rPr>
          <w:rFonts w:hint="eastAsia" w:ascii="宋体" w:hAnsi="宋体" w:eastAsia="宋体" w:cs="宋体"/>
          <w:color w:val="auto"/>
          <w:sz w:val="21"/>
          <w:szCs w:val="21"/>
          <w:highlight w:val="none"/>
          <w:lang w:val="en-US" w:eastAsia="zh-CN"/>
        </w:rPr>
        <w:t>场地使用权</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val="en-US" w:eastAsia="zh-CN"/>
        </w:rPr>
        <w:t>或因甲方未取得有效授权而致使其他</w:t>
      </w:r>
      <w:r>
        <w:rPr>
          <w:rFonts w:hint="eastAsia" w:ascii="宋体" w:hAnsi="宋体" w:eastAsia="宋体" w:cs="宋体"/>
          <w:color w:val="auto"/>
          <w:sz w:val="21"/>
          <w:szCs w:val="21"/>
          <w:highlight w:val="none"/>
          <w:lang w:val="en-US"/>
        </w:rPr>
        <w:t>权利人</w:t>
      </w:r>
      <w:r>
        <w:rPr>
          <w:rFonts w:hint="eastAsia" w:ascii="宋体" w:hAnsi="宋体" w:eastAsia="宋体" w:cs="宋体"/>
          <w:color w:val="auto"/>
          <w:sz w:val="21"/>
          <w:szCs w:val="21"/>
          <w:highlight w:val="none"/>
          <w:lang w:val="en-US" w:eastAsia="zh-CN"/>
        </w:rPr>
        <w:t>主张本合同无效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要求收回场地使用权，</w:t>
      </w:r>
      <w:r>
        <w:rPr>
          <w:rFonts w:hint="eastAsia" w:ascii="宋体" w:hAnsi="宋体" w:eastAsia="宋体" w:cs="宋体"/>
          <w:color w:val="auto"/>
          <w:sz w:val="21"/>
          <w:szCs w:val="21"/>
          <w:highlight w:val="none"/>
        </w:rPr>
        <w:t>甲方应赔偿乙方已投入的</w:t>
      </w:r>
      <w:r>
        <w:rPr>
          <w:rFonts w:hint="eastAsia" w:ascii="宋体" w:hAnsi="宋体" w:eastAsia="宋体" w:cs="宋体"/>
          <w:color w:val="auto"/>
          <w:sz w:val="21"/>
          <w:szCs w:val="21"/>
          <w:highlight w:val="none"/>
          <w:lang w:val="en-US" w:eastAsia="zh-CN"/>
        </w:rPr>
        <w:t>设备设施费用、人工安装维护费用等</w:t>
      </w:r>
      <w:r>
        <w:rPr>
          <w:rFonts w:hint="eastAsia" w:ascii="宋体" w:hAnsi="宋体" w:eastAsia="宋体" w:cs="宋体"/>
          <w:color w:val="auto"/>
          <w:sz w:val="21"/>
          <w:szCs w:val="21"/>
          <w:highlight w:val="none"/>
        </w:rPr>
        <w:t>所有</w:t>
      </w:r>
      <w:r>
        <w:rPr>
          <w:rFonts w:hint="eastAsia" w:ascii="宋体" w:hAnsi="宋体" w:eastAsia="宋体" w:cs="宋体"/>
          <w:color w:val="auto"/>
          <w:sz w:val="21"/>
          <w:szCs w:val="21"/>
          <w:highlight w:val="none"/>
          <w:lang w:val="en-US" w:eastAsia="zh-CN"/>
        </w:rPr>
        <w:t>直接</w:t>
      </w:r>
      <w:r>
        <w:rPr>
          <w:rFonts w:hint="eastAsia" w:ascii="宋体" w:hAnsi="宋体" w:eastAsia="宋体" w:cs="宋体"/>
          <w:color w:val="auto"/>
          <w:sz w:val="21"/>
          <w:szCs w:val="21"/>
          <w:highlight w:val="none"/>
        </w:rPr>
        <w:t>损失</w:t>
      </w:r>
      <w:r>
        <w:rPr>
          <w:rFonts w:hint="eastAsia" w:ascii="宋体" w:hAnsi="宋体" w:eastAsia="宋体" w:cs="宋体"/>
          <w:color w:val="auto"/>
          <w:sz w:val="21"/>
          <w:szCs w:val="21"/>
          <w:highlight w:val="none"/>
          <w:lang w:val="en-US"/>
        </w:rPr>
        <w:t>以及</w:t>
      </w:r>
      <w:r>
        <w:rPr>
          <w:rFonts w:hint="eastAsia" w:ascii="宋体" w:hAnsi="宋体" w:eastAsia="宋体" w:cs="宋体"/>
          <w:color w:val="auto"/>
          <w:sz w:val="21"/>
          <w:szCs w:val="21"/>
          <w:highlight w:val="none"/>
          <w:lang w:val="en-US" w:eastAsia="zh-CN"/>
        </w:rPr>
        <w:t>为维护自身权益而支出得律师费、诉讼费、保全担保费等</w:t>
      </w:r>
      <w:r>
        <w:rPr>
          <w:rFonts w:hint="eastAsia" w:ascii="宋体" w:hAnsi="宋体" w:eastAsia="宋体" w:cs="宋体"/>
          <w:color w:val="auto"/>
          <w:sz w:val="21"/>
          <w:szCs w:val="21"/>
          <w:highlight w:val="none"/>
        </w:rPr>
        <w:t>。</w:t>
      </w:r>
    </w:p>
    <w:p w14:paraId="1D2E196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rPr>
        <w:t>7.4</w:t>
      </w:r>
      <w:r>
        <w:rPr>
          <w:rFonts w:hint="eastAsia" w:ascii="宋体" w:hAnsi="宋体" w:eastAsia="宋体" w:cs="宋体"/>
          <w:color w:val="auto"/>
          <w:sz w:val="21"/>
          <w:szCs w:val="21"/>
          <w:highlight w:val="none"/>
          <w:lang w:val="en-US" w:eastAsia="zh-CN"/>
        </w:rPr>
        <w:t>如乙方擅自解除合同或者擅自拆除任何设备设施或者未经甲方同意转让、转包任何设备设施，或因乙方原因最终项目无法验收或乙方原因致使其他权利人主张本合同无效的，乙方应赔偿甲方预期收益损失，年限按照全部租赁期内按照本合同约定甲方预期获得的收益确定。甲方为维护自身权益而支出得律师费、诉讼费、保全担保费等亦由乙方承担。</w:t>
      </w:r>
    </w:p>
    <w:p w14:paraId="4514359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7.5 乙方应当按照本合同约定完成项目建设及验收，乙方也不得在中途停工超过   天，否则每延迟或停工一天应当向甲方支付违约金    元。超过   日，甲方有权解除合同，并要求乙方赔偿违约金    万元，解除后乙方的设备设施乙方自行拆除，否则甲方有权自行拆除并丢弃，所有风险和后果由乙方自行承担。</w:t>
      </w:r>
    </w:p>
    <w:p w14:paraId="03078F8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val="en-US"/>
        </w:rPr>
        <w:t>.6</w:t>
      </w:r>
      <w:r>
        <w:rPr>
          <w:rFonts w:hint="eastAsia" w:ascii="宋体" w:hAnsi="宋体" w:eastAsia="宋体" w:cs="宋体"/>
          <w:color w:val="auto"/>
          <w:sz w:val="21"/>
          <w:szCs w:val="21"/>
          <w:highlight w:val="none"/>
          <w:lang w:eastAsia="zh-CN"/>
        </w:rPr>
        <w:t>如</w:t>
      </w:r>
      <w:r>
        <w:rPr>
          <w:rFonts w:hint="eastAsia" w:ascii="宋体" w:hAnsi="宋体" w:eastAsia="宋体" w:cs="宋体"/>
          <w:b w:val="0"/>
          <w:bCs w:val="0"/>
          <w:color w:val="auto"/>
          <w:sz w:val="21"/>
          <w:szCs w:val="21"/>
          <w:highlight w:val="none"/>
          <w:lang w:eastAsia="zh-CN"/>
        </w:rPr>
        <w:t>本协议期内甲方</w:t>
      </w:r>
      <w:r>
        <w:rPr>
          <w:rFonts w:hint="eastAsia" w:ascii="宋体" w:hAnsi="宋体" w:eastAsia="宋体" w:cs="宋体"/>
          <w:b w:val="0"/>
          <w:bCs w:val="0"/>
          <w:color w:val="auto"/>
          <w:sz w:val="21"/>
          <w:szCs w:val="21"/>
          <w:highlight w:val="none"/>
          <w:lang w:val="en-US"/>
        </w:rPr>
        <w:t>丧失物业管理权等与本协议的签署</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rPr>
        <w:t>履行相关的任何权利</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rPr>
        <w:t>授权的</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甲方应协调乙方与新管理</w:t>
      </w:r>
      <w:r>
        <w:rPr>
          <w:rFonts w:hint="eastAsia" w:ascii="宋体" w:hAnsi="宋体" w:eastAsia="宋体" w:cs="宋体"/>
          <w:b w:val="0"/>
          <w:bCs w:val="0"/>
          <w:color w:val="auto"/>
          <w:sz w:val="21"/>
          <w:szCs w:val="21"/>
          <w:highlight w:val="none"/>
          <w:lang w:val="en-US"/>
        </w:rPr>
        <w:t>权人</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rPr>
        <w:t>使用权人</w:t>
      </w:r>
      <w:r>
        <w:rPr>
          <w:rFonts w:hint="eastAsia" w:ascii="宋体" w:hAnsi="宋体" w:eastAsia="宋体" w:cs="宋体"/>
          <w:b w:val="0"/>
          <w:bCs w:val="0"/>
          <w:color w:val="auto"/>
          <w:sz w:val="21"/>
          <w:szCs w:val="21"/>
          <w:highlight w:val="none"/>
          <w:lang w:val="en-US" w:eastAsia="zh-CN"/>
        </w:rPr>
        <w:t>重新签订与本合同内容同等的协议或由新管理</w:t>
      </w:r>
      <w:r>
        <w:rPr>
          <w:rFonts w:hint="eastAsia" w:ascii="宋体" w:hAnsi="宋体" w:eastAsia="宋体" w:cs="宋体"/>
          <w:b w:val="0"/>
          <w:bCs w:val="0"/>
          <w:color w:val="auto"/>
          <w:sz w:val="21"/>
          <w:szCs w:val="21"/>
          <w:highlight w:val="none"/>
          <w:lang w:val="en-US"/>
        </w:rPr>
        <w:t>权人</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rPr>
        <w:t>使用权人</w:t>
      </w:r>
      <w:r>
        <w:rPr>
          <w:rFonts w:hint="eastAsia" w:ascii="宋体" w:hAnsi="宋体" w:eastAsia="宋体" w:cs="宋体"/>
          <w:b w:val="0"/>
          <w:bCs w:val="0"/>
          <w:color w:val="auto"/>
          <w:sz w:val="21"/>
          <w:szCs w:val="21"/>
          <w:highlight w:val="none"/>
          <w:lang w:val="en-US" w:eastAsia="zh-CN"/>
        </w:rPr>
        <w:t>承接</w:t>
      </w:r>
      <w:r>
        <w:rPr>
          <w:rFonts w:hint="eastAsia" w:ascii="宋体" w:hAnsi="宋体" w:eastAsia="宋体" w:cs="宋体"/>
          <w:b w:val="0"/>
          <w:bCs w:val="0"/>
          <w:color w:val="auto"/>
          <w:sz w:val="21"/>
          <w:szCs w:val="21"/>
          <w:highlight w:val="none"/>
        </w:rPr>
        <w:t>本</w:t>
      </w:r>
      <w:r>
        <w:rPr>
          <w:rFonts w:hint="eastAsia" w:ascii="宋体" w:hAnsi="宋体" w:eastAsia="宋体" w:cs="宋体"/>
          <w:b w:val="0"/>
          <w:bCs w:val="0"/>
          <w:color w:val="auto"/>
          <w:sz w:val="21"/>
          <w:szCs w:val="21"/>
          <w:highlight w:val="none"/>
          <w:lang w:eastAsia="zh-CN"/>
        </w:rPr>
        <w:t>协议</w:t>
      </w:r>
      <w:r>
        <w:rPr>
          <w:rFonts w:hint="eastAsia" w:ascii="宋体" w:hAnsi="宋体" w:eastAsia="宋体" w:cs="宋体"/>
          <w:b w:val="0"/>
          <w:bCs w:val="0"/>
          <w:color w:val="auto"/>
          <w:sz w:val="21"/>
          <w:szCs w:val="21"/>
          <w:highlight w:val="none"/>
          <w:lang w:val="en-US" w:eastAsia="zh-CN"/>
        </w:rPr>
        <w:t>相关义务、责任</w:t>
      </w:r>
      <w:r>
        <w:rPr>
          <w:rFonts w:hint="eastAsia" w:ascii="宋体" w:hAnsi="宋体" w:eastAsia="宋体" w:cs="宋体"/>
          <w:b w:val="0"/>
          <w:i w:val="0"/>
          <w:caps w:val="0"/>
          <w:color w:val="auto"/>
          <w:spacing w:val="0"/>
          <w:w w:val="100"/>
          <w:kern w:val="2"/>
          <w:sz w:val="21"/>
          <w:szCs w:val="21"/>
          <w:highlight w:val="none"/>
          <w:lang w:val="en-US" w:eastAsia="zh-CN"/>
        </w:rPr>
        <w:t>。</w:t>
      </w:r>
    </w:p>
    <w:p w14:paraId="617B23E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val="en-US"/>
        </w:rPr>
        <w:t>7</w:t>
      </w:r>
      <w:r>
        <w:rPr>
          <w:rFonts w:hint="eastAsia" w:ascii="宋体" w:hAnsi="宋体" w:eastAsia="宋体" w:cs="宋体"/>
          <w:color w:val="auto"/>
          <w:sz w:val="21"/>
          <w:szCs w:val="21"/>
          <w:highlight w:val="none"/>
        </w:rPr>
        <w:t>如甲方未及时对</w:t>
      </w:r>
      <w:r>
        <w:rPr>
          <w:rFonts w:hint="eastAsia" w:ascii="宋体" w:hAnsi="宋体" w:eastAsia="宋体" w:cs="宋体"/>
          <w:color w:val="auto"/>
          <w:sz w:val="21"/>
          <w:szCs w:val="21"/>
          <w:highlight w:val="none"/>
          <w:lang w:eastAsia="zh-CN"/>
        </w:rPr>
        <w:t>地面</w:t>
      </w:r>
      <w:r>
        <w:rPr>
          <w:rFonts w:hint="eastAsia" w:ascii="宋体" w:hAnsi="宋体" w:eastAsia="宋体" w:cs="宋体"/>
          <w:color w:val="auto"/>
          <w:sz w:val="21"/>
          <w:szCs w:val="21"/>
          <w:highlight w:val="none"/>
        </w:rPr>
        <w:t>破损或漏水进行修复的，</w:t>
      </w:r>
      <w:r>
        <w:rPr>
          <w:rFonts w:hint="eastAsia" w:ascii="宋体" w:hAnsi="宋体" w:eastAsia="宋体" w:cs="宋体"/>
          <w:color w:val="auto"/>
          <w:sz w:val="21"/>
          <w:szCs w:val="21"/>
          <w:highlight w:val="none"/>
          <w:lang w:val="en-US"/>
        </w:rPr>
        <w:t>或发生了</w:t>
      </w:r>
      <w:r>
        <w:rPr>
          <w:rFonts w:hint="eastAsia" w:ascii="宋体" w:hAnsi="宋体" w:eastAsia="宋体" w:cs="宋体"/>
          <w:color w:val="auto"/>
          <w:sz w:val="21"/>
          <w:szCs w:val="21"/>
          <w:highlight w:val="none"/>
          <w:lang w:val="en-US" w:eastAsia="zh-CN"/>
        </w:rPr>
        <w:t>甲方原因</w:t>
      </w:r>
      <w:r>
        <w:rPr>
          <w:rFonts w:hint="eastAsia" w:ascii="宋体" w:hAnsi="宋体" w:eastAsia="宋体" w:cs="宋体"/>
          <w:color w:val="auto"/>
          <w:sz w:val="21"/>
          <w:szCs w:val="21"/>
          <w:highlight w:val="none"/>
          <w:lang w:val="en-US"/>
        </w:rPr>
        <w:t>导致乙方无法正常运营项目的情形</w:t>
      </w:r>
      <w:r>
        <w:rPr>
          <w:rFonts w:hint="eastAsia" w:ascii="宋体" w:hAnsi="宋体" w:eastAsia="宋体" w:cs="宋体"/>
          <w:color w:val="auto"/>
          <w:sz w:val="21"/>
          <w:szCs w:val="21"/>
          <w:highlight w:val="none"/>
        </w:rPr>
        <w:t>，甲方应赔偿乙方</w:t>
      </w:r>
      <w:r>
        <w:rPr>
          <w:rFonts w:hint="eastAsia" w:ascii="宋体" w:hAnsi="宋体" w:eastAsia="宋体" w:cs="宋体"/>
          <w:color w:val="auto"/>
          <w:sz w:val="21"/>
          <w:szCs w:val="21"/>
          <w:highlight w:val="none"/>
          <w:lang w:val="en-US"/>
        </w:rPr>
        <w:t>暂停运营期间的</w:t>
      </w:r>
      <w:r>
        <w:rPr>
          <w:rFonts w:hint="eastAsia" w:ascii="宋体" w:hAnsi="宋体" w:eastAsia="宋体" w:cs="宋体"/>
          <w:color w:val="auto"/>
          <w:sz w:val="21"/>
          <w:szCs w:val="21"/>
          <w:highlight w:val="none"/>
        </w:rPr>
        <w:t>预期发电收益</w:t>
      </w:r>
      <w:r>
        <w:rPr>
          <w:rFonts w:hint="eastAsia" w:ascii="宋体" w:hAnsi="宋体" w:eastAsia="宋体" w:cs="宋体"/>
          <w:color w:val="auto"/>
          <w:sz w:val="21"/>
          <w:szCs w:val="21"/>
          <w:highlight w:val="none"/>
          <w:lang w:val="en-US"/>
        </w:rPr>
        <w:t>并免收该期间的</w:t>
      </w:r>
      <w:r>
        <w:rPr>
          <w:rFonts w:hint="eastAsia" w:ascii="宋体" w:hAnsi="宋体" w:eastAsia="宋体" w:cs="宋体"/>
          <w:color w:val="auto"/>
          <w:sz w:val="21"/>
          <w:szCs w:val="21"/>
          <w:highlight w:val="none"/>
          <w:lang w:val="en-US" w:eastAsia="zh-CN"/>
        </w:rPr>
        <w:t>收益分成</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rPr>
        <w:t>如甲方超过</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rPr>
        <w:t>天仍未修复或仍未消除影响或相关事项导致乙方客观上无法继续运营的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rPr>
        <w:t>乙方有权解除合同</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rPr>
        <w:t>甲方按照本协议第</w:t>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val="en-US"/>
        </w:rPr>
        <w:t>.</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rPr>
        <w:t>条对乙方进行赔偿</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rPr>
        <w:t>如乙方代为修复的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rPr>
        <w:t>因此产生的相关费用由甲方承担</w:t>
      </w:r>
      <w:r>
        <w:rPr>
          <w:rFonts w:hint="eastAsia" w:ascii="宋体" w:hAnsi="宋体" w:eastAsia="宋体" w:cs="宋体"/>
          <w:color w:val="auto"/>
          <w:sz w:val="21"/>
          <w:szCs w:val="21"/>
          <w:highlight w:val="none"/>
        </w:rPr>
        <w:t>。</w:t>
      </w:r>
    </w:p>
    <w:p w14:paraId="BA1BEF7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7.8</w:t>
      </w:r>
      <w:r>
        <w:rPr>
          <w:rFonts w:hint="eastAsia" w:ascii="宋体" w:hAnsi="宋体" w:eastAsia="宋体" w:cs="宋体"/>
          <w:b w:val="0"/>
          <w:bCs w:val="0"/>
          <w:i w:val="0"/>
          <w:iCs w:val="0"/>
          <w:color w:val="auto"/>
          <w:kern w:val="2"/>
          <w:sz w:val="21"/>
          <w:szCs w:val="21"/>
          <w:highlight w:val="none"/>
          <w:vertAlign w:val="baseline"/>
          <w:lang w:val="en-US" w:eastAsia="zh-CN" w:bidi="ar-SA"/>
        </w:rPr>
        <w:t>如乙方未及时对现场设备设施或乙方原因造成的使用场地等进行修复的，或发生了乙方原因导致无法正常运营项目的情形，乙方应赔偿甲方暂停运营期间的预期发电收益并免收该期间的收益分成，如乙方超过【30】天仍未修复或仍未消除影响或相关事项导致项目客观上无法继续运营的，甲方有权解除合同，乙方按照本协议第7.4条对乙方进行赔偿。如甲方代为修复的，因此产生的相关费用由乙方承担。</w:t>
      </w:r>
    </w:p>
    <w:p w14:paraId="46B8B0D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val="en-US"/>
        </w:rPr>
        <w:t>.9</w:t>
      </w:r>
      <w:r>
        <w:rPr>
          <w:rFonts w:hint="eastAsia" w:ascii="宋体" w:hAnsi="宋体" w:eastAsia="宋体" w:cs="宋体"/>
          <w:color w:val="auto"/>
          <w:sz w:val="21"/>
          <w:szCs w:val="21"/>
          <w:highlight w:val="none"/>
          <w:lang w:eastAsia="zh-CN"/>
        </w:rPr>
        <w:t>如因乙方原因导致</w:t>
      </w:r>
      <w:r>
        <w:rPr>
          <w:rFonts w:hint="eastAsia" w:ascii="宋体" w:hAnsi="宋体" w:eastAsia="宋体" w:cs="宋体"/>
          <w:color w:val="auto"/>
          <w:sz w:val="21"/>
          <w:szCs w:val="21"/>
          <w:highlight w:val="none"/>
          <w:lang w:val="en-US" w:eastAsia="zh-CN"/>
        </w:rPr>
        <w:t>场地</w:t>
      </w:r>
      <w:r>
        <w:rPr>
          <w:rFonts w:hint="eastAsia" w:ascii="宋体" w:hAnsi="宋体" w:eastAsia="宋体" w:cs="宋体"/>
          <w:color w:val="auto"/>
          <w:sz w:val="21"/>
          <w:szCs w:val="21"/>
          <w:highlight w:val="none"/>
          <w:lang w:eastAsia="zh-CN"/>
        </w:rPr>
        <w:t>破损或漏水未及时进行修复的，</w:t>
      </w:r>
      <w:r>
        <w:rPr>
          <w:rFonts w:hint="eastAsia" w:ascii="宋体" w:hAnsi="宋体" w:eastAsia="宋体" w:cs="宋体"/>
          <w:color w:val="auto"/>
          <w:sz w:val="21"/>
          <w:szCs w:val="21"/>
          <w:highlight w:val="none"/>
          <w:lang w:val="en-US" w:eastAsia="zh-CN"/>
        </w:rPr>
        <w:t>甲方有权代为乙方修复，由此产生的费用由乙方承担，如给甲方造成其他损失的，乙方应负责赔偿</w:t>
      </w:r>
      <w:r>
        <w:rPr>
          <w:rFonts w:hint="eastAsia" w:ascii="宋体" w:hAnsi="宋体" w:eastAsia="宋体" w:cs="宋体"/>
          <w:color w:val="auto"/>
          <w:sz w:val="21"/>
          <w:szCs w:val="21"/>
          <w:highlight w:val="none"/>
          <w:lang w:eastAsia="zh-CN"/>
        </w:rPr>
        <w:t>。</w:t>
      </w:r>
    </w:p>
    <w:p w14:paraId="3B671CC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7.10 乙方运营期间出现任何安全事故或者侵犯第三人权益的，一切责任由乙方承担，若导致甲方被追索，乙方除承担被追索费用外，还应当按照被追索费用的30%向甲方承担违约金。</w:t>
      </w:r>
    </w:p>
    <w:p w14:paraId="0B4BB95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第八节：协议解除</w:t>
      </w:r>
    </w:p>
    <w:p w14:paraId="54797A3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8.1因不可抗力致使协议无法履行，可以提前解除协议。如不可抗力事件不足以导致协议无法履行，甲乙双方应根据其对协议履行的影响程度确定延期履行或部分免除责任。</w:t>
      </w:r>
    </w:p>
    <w:p w14:paraId="2C0FA8F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8.2</w:t>
      </w:r>
      <w:r>
        <w:rPr>
          <w:rFonts w:hint="eastAsia" w:ascii="宋体" w:hAnsi="宋体" w:eastAsia="宋体" w:cs="宋体"/>
          <w:color w:val="auto"/>
          <w:spacing w:val="0"/>
          <w:sz w:val="21"/>
          <w:szCs w:val="21"/>
          <w:highlight w:val="none"/>
        </w:rPr>
        <w:t>如因政府</w:t>
      </w:r>
      <w:r>
        <w:rPr>
          <w:rFonts w:hint="eastAsia" w:ascii="宋体" w:hAnsi="宋体" w:eastAsia="宋体" w:cs="宋体"/>
          <w:color w:val="auto"/>
          <w:spacing w:val="0"/>
          <w:sz w:val="21"/>
          <w:szCs w:val="21"/>
          <w:highlight w:val="none"/>
          <w:lang w:val="en-US" w:eastAsia="zh-CN"/>
        </w:rPr>
        <w:t>部门</w:t>
      </w:r>
      <w:r>
        <w:rPr>
          <w:rFonts w:hint="eastAsia" w:ascii="宋体" w:hAnsi="宋体" w:eastAsia="宋体" w:cs="宋体"/>
          <w:color w:val="auto"/>
          <w:spacing w:val="0"/>
          <w:sz w:val="21"/>
          <w:szCs w:val="21"/>
          <w:highlight w:val="none"/>
        </w:rPr>
        <w:t>对此项目不予审批</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z w:val="21"/>
          <w:szCs w:val="21"/>
          <w:highlight w:val="none"/>
        </w:rPr>
        <w:t>项目实施所必需的国家电网接入手续无法批复</w:t>
      </w:r>
      <w:r>
        <w:rPr>
          <w:rFonts w:hint="eastAsia" w:ascii="宋体" w:hAnsi="宋体" w:eastAsia="宋体" w:cs="宋体"/>
          <w:color w:val="auto"/>
          <w:sz w:val="21"/>
          <w:szCs w:val="21"/>
          <w:highlight w:val="none"/>
          <w:lang w:val="en-US" w:eastAsia="zh-CN"/>
        </w:rPr>
        <w:t>等审批方便的原因</w:t>
      </w:r>
      <w:r>
        <w:rPr>
          <w:rFonts w:hint="eastAsia" w:ascii="宋体" w:hAnsi="宋体" w:eastAsia="宋体" w:cs="宋体"/>
          <w:color w:val="auto"/>
          <w:sz w:val="21"/>
          <w:szCs w:val="21"/>
          <w:highlight w:val="none"/>
        </w:rPr>
        <w:t>，本协议自动解除，双方互不承担违约责任。</w:t>
      </w:r>
      <w:r>
        <w:rPr>
          <w:rFonts w:hint="eastAsia" w:ascii="宋体" w:hAnsi="宋体" w:eastAsia="宋体" w:cs="宋体"/>
          <w:color w:val="auto"/>
          <w:sz w:val="21"/>
          <w:szCs w:val="21"/>
          <w:highlight w:val="none"/>
          <w:lang w:val="en-US" w:eastAsia="zh-CN"/>
        </w:rPr>
        <w:t xml:space="preserve"> </w:t>
      </w:r>
    </w:p>
    <w:p w14:paraId="68833AB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8.3因甲乙双方中一方不履行本协议规定的义务，导致项目无法进展或远未达到项目技术指标的，或一方进入破产程序的，另一方书面通知对方解除本协议。</w:t>
      </w:r>
    </w:p>
    <w:p w14:paraId="75D802B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8.4本协议解除后，项目应当终止实施，</w:t>
      </w:r>
      <w:r>
        <w:rPr>
          <w:rFonts w:hint="eastAsia" w:ascii="宋体" w:hAnsi="宋体" w:eastAsia="宋体" w:cs="宋体"/>
          <w:color w:val="auto"/>
          <w:sz w:val="21"/>
          <w:szCs w:val="21"/>
          <w:highlight w:val="none"/>
          <w:lang w:val="en-US" w:eastAsia="zh-CN"/>
        </w:rPr>
        <w:t>乙方相关</w:t>
      </w:r>
      <w:r>
        <w:rPr>
          <w:rFonts w:hint="eastAsia" w:ascii="宋体" w:hAnsi="宋体" w:eastAsia="宋体" w:cs="宋体"/>
          <w:color w:val="auto"/>
          <w:sz w:val="21"/>
          <w:szCs w:val="21"/>
          <w:highlight w:val="none"/>
        </w:rPr>
        <w:t>项目资产由乙方负责拆除、取回并恢复屋面原状。</w:t>
      </w:r>
    </w:p>
    <w:p w14:paraId="7675C7C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8.5本协议的解除不影响任意一方根据协议或相关法律法规向对方寻求赔偿的权利，也不影响任意一方在协议解除前到期的付款义务的履行。</w:t>
      </w:r>
    </w:p>
    <w:p w14:paraId="34A4D45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8.6因征收或征用等政府行为导致建筑物拆迁的，甲、乙双方同意解除本协议，项目设备设施补偿以及</w:t>
      </w:r>
      <w:r>
        <w:rPr>
          <w:rFonts w:hint="eastAsia" w:ascii="宋体" w:hAnsi="宋体" w:eastAsia="宋体" w:cs="宋体"/>
          <w:color w:val="auto"/>
          <w:sz w:val="21"/>
          <w:szCs w:val="21"/>
          <w:highlight w:val="none"/>
          <w:lang w:val="en-US" w:eastAsia="zh-CN"/>
        </w:rPr>
        <w:t>设备设施</w:t>
      </w:r>
      <w:r>
        <w:rPr>
          <w:rFonts w:hint="eastAsia" w:ascii="宋体" w:hAnsi="宋体" w:eastAsia="宋体" w:cs="宋体"/>
          <w:color w:val="auto"/>
          <w:sz w:val="21"/>
          <w:szCs w:val="21"/>
          <w:highlight w:val="none"/>
        </w:rPr>
        <w:t>搬迁和经营补偿等归乙方所有。</w:t>
      </w:r>
    </w:p>
    <w:p w14:paraId="5C99796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第九节：争议的解决</w:t>
      </w:r>
    </w:p>
    <w:p w14:paraId="2B18B66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9.1如甲乙双方发生争议，双方协商解决。</w:t>
      </w:r>
    </w:p>
    <w:p w14:paraId="7D48042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9.2如不能协调解决，甲乙双方</w:t>
      </w:r>
      <w:r>
        <w:rPr>
          <w:rFonts w:hint="eastAsia" w:ascii="宋体" w:hAnsi="宋体" w:eastAsia="宋体" w:cs="宋体"/>
          <w:color w:val="auto"/>
          <w:sz w:val="21"/>
          <w:szCs w:val="21"/>
          <w:highlight w:val="none"/>
          <w:lang w:eastAsia="zh-CN"/>
        </w:rPr>
        <w:t>应当向甲方</w:t>
      </w:r>
      <w:r>
        <w:rPr>
          <w:rFonts w:hint="eastAsia" w:ascii="宋体" w:hAnsi="宋体" w:eastAsia="宋体" w:cs="宋体"/>
          <w:color w:val="auto"/>
          <w:sz w:val="21"/>
          <w:szCs w:val="21"/>
          <w:highlight w:val="none"/>
        </w:rPr>
        <w:t>所在地人民法院提起诉讼解决。</w:t>
      </w:r>
    </w:p>
    <w:p w14:paraId="467CB4C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第十节：协议期限及其他</w:t>
      </w:r>
    </w:p>
    <w:p w14:paraId="6541367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10.1甲乙双方均应对本协议涉及的所有信息承担保密义务。未经一方书面同意，任何一方不得以任何方式将任何信息泄露于第三方。</w:t>
      </w:r>
    </w:p>
    <w:p w14:paraId="12A5802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10.2甲乙双方均需设定专责联系人负责项目具体工作。一方变更项目联系人的，应在七日内以书面形式通知另一方。</w:t>
      </w:r>
    </w:p>
    <w:p w14:paraId="772CC4D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10.3项目的安装、运行等保险由乙方负责购买并承担费用。</w:t>
      </w:r>
    </w:p>
    <w:p w14:paraId="2392E4D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10.4 </w:t>
      </w:r>
      <w:r>
        <w:rPr>
          <w:rFonts w:hint="eastAsia" w:ascii="宋体" w:hAnsi="宋体" w:eastAsia="宋体" w:cs="宋体"/>
          <w:color w:val="auto"/>
          <w:sz w:val="21"/>
          <w:szCs w:val="21"/>
          <w:highlight w:val="none"/>
          <w:lang w:val="en-US"/>
        </w:rPr>
        <w:t>甲乙双</w:t>
      </w:r>
      <w:r>
        <w:rPr>
          <w:rFonts w:hint="eastAsia" w:ascii="宋体" w:hAnsi="宋体" w:eastAsia="宋体" w:cs="宋体"/>
          <w:color w:val="auto"/>
          <w:sz w:val="21"/>
          <w:szCs w:val="21"/>
          <w:highlight w:val="none"/>
        </w:rPr>
        <w:t>方以本</w:t>
      </w:r>
      <w:r>
        <w:rPr>
          <w:rFonts w:hint="eastAsia" w:ascii="宋体" w:hAnsi="宋体" w:eastAsia="宋体" w:cs="宋体"/>
          <w:color w:val="auto"/>
          <w:sz w:val="21"/>
          <w:szCs w:val="21"/>
          <w:highlight w:val="none"/>
          <w:lang w:val="en-US"/>
        </w:rPr>
        <w:t>合同</w:t>
      </w:r>
      <w:r>
        <w:rPr>
          <w:rFonts w:hint="eastAsia" w:ascii="宋体" w:hAnsi="宋体" w:eastAsia="宋体" w:cs="宋体"/>
          <w:color w:val="auto"/>
          <w:sz w:val="21"/>
          <w:szCs w:val="21"/>
          <w:highlight w:val="none"/>
          <w:lang w:eastAsia="zh-CN"/>
        </w:rPr>
        <w:t>首页</w:t>
      </w:r>
      <w:r>
        <w:rPr>
          <w:rFonts w:hint="eastAsia" w:ascii="宋体" w:hAnsi="宋体" w:eastAsia="宋体" w:cs="宋体"/>
          <w:color w:val="auto"/>
          <w:sz w:val="21"/>
          <w:szCs w:val="21"/>
          <w:highlight w:val="none"/>
        </w:rPr>
        <w:t>载明的地址、联系方式为发送、接收相关通知的送达地址。接收通知方拒收、无人接收、由他人代收或未查阅的，不影响通知送达的有效性。上述地址同时作为有效司法送达地址。一方变更接收通知方式的，应以书面形式向其他方确认变更，否则视为未变更。</w:t>
      </w:r>
    </w:p>
    <w:p w14:paraId="4024D8B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10.5</w:t>
      </w:r>
      <w:r>
        <w:rPr>
          <w:rFonts w:hint="eastAsia" w:ascii="宋体" w:hAnsi="宋体" w:eastAsia="宋体" w:cs="宋体"/>
          <w:color w:val="auto"/>
          <w:sz w:val="21"/>
          <w:szCs w:val="21"/>
          <w:highlight w:val="none"/>
        </w:rPr>
        <w:t>本协议自双方签字盖章之日起生效，至</w:t>
      </w:r>
      <w:r>
        <w:rPr>
          <w:rFonts w:hint="eastAsia" w:ascii="宋体" w:hAnsi="宋体" w:eastAsia="宋体" w:cs="宋体"/>
          <w:color w:val="auto"/>
          <w:sz w:val="21"/>
          <w:szCs w:val="21"/>
          <w:highlight w:val="none"/>
          <w:lang w:val="en-US" w:eastAsia="zh-CN"/>
        </w:rPr>
        <w:t>双方权利义务履行完毕之日</w:t>
      </w:r>
      <w:r>
        <w:rPr>
          <w:rFonts w:hint="eastAsia" w:ascii="宋体" w:hAnsi="宋体" w:eastAsia="宋体" w:cs="宋体"/>
          <w:color w:val="auto"/>
          <w:sz w:val="21"/>
          <w:szCs w:val="21"/>
          <w:highlight w:val="none"/>
        </w:rPr>
        <w:t>终止。</w:t>
      </w:r>
      <w:r>
        <w:rPr>
          <w:rFonts w:hint="eastAsia" w:ascii="宋体" w:hAnsi="宋体" w:eastAsia="宋体" w:cs="宋体"/>
          <w:color w:val="auto"/>
          <w:sz w:val="21"/>
          <w:szCs w:val="21"/>
          <w:highlight w:val="none"/>
          <w:lang w:val="en-US" w:eastAsia="zh-CN"/>
        </w:rPr>
        <w:t>本</w:t>
      </w:r>
      <w:r>
        <w:rPr>
          <w:rFonts w:hint="eastAsia" w:ascii="宋体" w:hAnsi="宋体" w:eastAsia="宋体" w:cs="宋体"/>
          <w:color w:val="auto"/>
          <w:sz w:val="21"/>
          <w:szCs w:val="21"/>
          <w:highlight w:val="none"/>
        </w:rPr>
        <w:t>协议文本一式</w:t>
      </w:r>
      <w:r>
        <w:rPr>
          <w:rFonts w:hint="eastAsia" w:ascii="宋体" w:hAnsi="宋体" w:eastAsia="宋体" w:cs="宋体"/>
          <w:color w:val="auto"/>
          <w:sz w:val="21"/>
          <w:szCs w:val="21"/>
          <w:highlight w:val="none"/>
          <w:lang w:val="en-US" w:eastAsia="zh-CN"/>
        </w:rPr>
        <w:t>肆</w:t>
      </w:r>
      <w:r>
        <w:rPr>
          <w:rFonts w:hint="eastAsia" w:ascii="宋体" w:hAnsi="宋体" w:eastAsia="宋体" w:cs="宋体"/>
          <w:color w:val="auto"/>
          <w:sz w:val="21"/>
          <w:szCs w:val="21"/>
          <w:highlight w:val="none"/>
        </w:rPr>
        <w:t>份，双方各执两份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均</w:t>
      </w:r>
      <w:r>
        <w:rPr>
          <w:rFonts w:hint="eastAsia" w:ascii="宋体" w:hAnsi="宋体" w:eastAsia="宋体" w:cs="宋体"/>
          <w:color w:val="auto"/>
          <w:sz w:val="21"/>
          <w:szCs w:val="21"/>
          <w:highlight w:val="none"/>
        </w:rPr>
        <w:t>具有同等法律效力。</w:t>
      </w:r>
    </w:p>
    <w:p w14:paraId="25F18725">
      <w:pPr>
        <w:adjustRightInd w:val="0"/>
        <w:snapToGrid w:val="0"/>
        <w:spacing w:line="500" w:lineRule="atLeast"/>
        <w:rPr>
          <w:rFonts w:hint="eastAsia" w:ascii="宋体" w:hAnsi="宋体" w:eastAsia="宋体" w:cs="宋体"/>
          <w:color w:val="auto"/>
          <w:sz w:val="21"/>
          <w:szCs w:val="21"/>
          <w:highlight w:val="none"/>
        </w:rPr>
      </w:pPr>
    </w:p>
    <w:tbl>
      <w:tblPr>
        <w:tblStyle w:val="18"/>
        <w:tblW w:w="9071" w:type="dxa"/>
        <w:jc w:val="center"/>
        <w:tblLayout w:type="fixed"/>
        <w:tblCellMar>
          <w:top w:w="0" w:type="dxa"/>
          <w:left w:w="108" w:type="dxa"/>
          <w:bottom w:w="0" w:type="dxa"/>
          <w:right w:w="108" w:type="dxa"/>
        </w:tblCellMar>
      </w:tblPr>
      <w:tblGrid>
        <w:gridCol w:w="4535"/>
        <w:gridCol w:w="4536"/>
      </w:tblGrid>
      <w:tr w14:paraId="3E7AD7FE">
        <w:trPr>
          <w:jc w:val="center"/>
        </w:trPr>
        <w:tc>
          <w:tcPr>
            <w:tcW w:w="4261" w:type="dxa"/>
            <w:vAlign w:val="top"/>
          </w:tcPr>
          <w:p w14:paraId="50D8F431">
            <w:pPr>
              <w:keepNext w:val="0"/>
              <w:keepLines w:val="0"/>
              <w:suppressLineNumbers w:val="0"/>
              <w:adjustRightInd w:val="0"/>
              <w:snapToGrid w:val="0"/>
              <w:spacing w:before="0" w:beforeAutospacing="0" w:after="0" w:afterAutospacing="0" w:line="500" w:lineRule="atLeast"/>
              <w:ind w:left="0" w:right="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甲方（盖章）：</w:t>
            </w:r>
          </w:p>
          <w:p w14:paraId="180B20BF">
            <w:pPr>
              <w:keepNext w:val="0"/>
              <w:keepLines w:val="0"/>
              <w:suppressLineNumbers w:val="0"/>
              <w:adjustRightInd w:val="0"/>
              <w:snapToGrid w:val="0"/>
              <w:spacing w:before="0" w:beforeAutospacing="0" w:after="0" w:afterAutospacing="0" w:line="500" w:lineRule="atLeast"/>
              <w:ind w:left="0" w:right="0"/>
              <w:rPr>
                <w:rFonts w:hint="eastAsia" w:ascii="宋体" w:hAnsi="宋体" w:eastAsia="宋体" w:cs="宋体"/>
                <w:color w:val="auto"/>
                <w:sz w:val="30"/>
                <w:szCs w:val="30"/>
                <w:highlight w:val="none"/>
              </w:rPr>
            </w:pPr>
          </w:p>
          <w:p w14:paraId="6EBE09B4">
            <w:pPr>
              <w:keepNext w:val="0"/>
              <w:keepLines w:val="0"/>
              <w:suppressLineNumbers w:val="0"/>
              <w:adjustRightInd w:val="0"/>
              <w:snapToGrid w:val="0"/>
              <w:spacing w:before="0" w:beforeAutospacing="0" w:after="0" w:afterAutospacing="0" w:line="500" w:lineRule="atLeast"/>
              <w:ind w:left="0" w:right="0"/>
              <w:rPr>
                <w:rFonts w:hint="eastAsia" w:ascii="宋体" w:hAnsi="宋体" w:eastAsia="宋体" w:cs="宋体"/>
                <w:color w:val="auto"/>
                <w:sz w:val="30"/>
                <w:szCs w:val="30"/>
                <w:highlight w:val="none"/>
                <w:lang w:eastAsia="zh-CN"/>
              </w:rPr>
            </w:pPr>
            <w:r>
              <w:rPr>
                <w:rFonts w:hint="eastAsia" w:ascii="宋体" w:hAnsi="宋体" w:eastAsia="宋体" w:cs="宋体"/>
                <w:color w:val="auto"/>
                <w:sz w:val="30"/>
                <w:szCs w:val="30"/>
                <w:highlight w:val="none"/>
                <w:lang w:val="en-US" w:eastAsia="zh-CN"/>
              </w:rPr>
              <w:t xml:space="preserve"> </w:t>
            </w:r>
          </w:p>
        </w:tc>
        <w:tc>
          <w:tcPr>
            <w:tcW w:w="4261" w:type="dxa"/>
            <w:vAlign w:val="top"/>
          </w:tcPr>
          <w:p w14:paraId="24DBEC05">
            <w:pPr>
              <w:keepNext w:val="0"/>
              <w:keepLines w:val="0"/>
              <w:suppressLineNumbers w:val="0"/>
              <w:adjustRightInd w:val="0"/>
              <w:snapToGrid w:val="0"/>
              <w:spacing w:before="0" w:beforeAutospacing="0" w:after="0" w:afterAutospacing="0" w:line="500" w:lineRule="atLeast"/>
              <w:ind w:left="0" w:right="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乙方（盖章）：</w:t>
            </w:r>
          </w:p>
          <w:p w14:paraId="1B5812E6">
            <w:pPr>
              <w:keepNext w:val="0"/>
              <w:keepLines w:val="0"/>
              <w:suppressLineNumbers w:val="0"/>
              <w:adjustRightInd w:val="0"/>
              <w:snapToGrid w:val="0"/>
              <w:spacing w:before="0" w:beforeAutospacing="0" w:after="0" w:afterAutospacing="0" w:line="500" w:lineRule="atLeast"/>
              <w:ind w:left="0" w:right="0"/>
              <w:rPr>
                <w:rFonts w:hint="eastAsia" w:ascii="宋体" w:hAnsi="宋体" w:eastAsia="宋体" w:cs="宋体"/>
                <w:color w:val="auto"/>
                <w:sz w:val="30"/>
                <w:szCs w:val="30"/>
                <w:highlight w:val="none"/>
              </w:rPr>
            </w:pPr>
          </w:p>
          <w:p w14:paraId="5888647D">
            <w:pPr>
              <w:keepNext w:val="0"/>
              <w:keepLines w:val="0"/>
              <w:suppressLineNumbers w:val="0"/>
              <w:adjustRightInd w:val="0"/>
              <w:snapToGrid w:val="0"/>
              <w:spacing w:before="0" w:beforeAutospacing="0" w:after="0" w:afterAutospacing="0" w:line="500" w:lineRule="atLeast"/>
              <w:ind w:left="0" w:right="0"/>
              <w:rPr>
                <w:rFonts w:hint="eastAsia" w:ascii="宋体" w:hAnsi="宋体" w:eastAsia="宋体" w:cs="宋体"/>
                <w:color w:val="auto"/>
                <w:sz w:val="30"/>
                <w:szCs w:val="30"/>
                <w:highlight w:val="none"/>
              </w:rPr>
            </w:pPr>
          </w:p>
          <w:p w14:paraId="5776FA9E">
            <w:pPr>
              <w:keepNext w:val="0"/>
              <w:keepLines w:val="0"/>
              <w:suppressLineNumbers w:val="0"/>
              <w:adjustRightInd w:val="0"/>
              <w:snapToGrid w:val="0"/>
              <w:spacing w:before="0" w:beforeAutospacing="0" w:after="0" w:afterAutospacing="0" w:line="500" w:lineRule="atLeast"/>
              <w:ind w:left="0" w:right="0"/>
              <w:rPr>
                <w:rFonts w:hint="eastAsia" w:ascii="宋体" w:hAnsi="宋体" w:eastAsia="宋体" w:cs="宋体"/>
                <w:color w:val="auto"/>
                <w:sz w:val="30"/>
                <w:szCs w:val="30"/>
                <w:highlight w:val="none"/>
              </w:rPr>
            </w:pPr>
          </w:p>
        </w:tc>
      </w:tr>
      <w:tr w14:paraId="3ED3E727">
        <w:tblPrEx>
          <w:tblCellMar>
            <w:top w:w="0" w:type="dxa"/>
            <w:left w:w="108" w:type="dxa"/>
            <w:bottom w:w="0" w:type="dxa"/>
            <w:right w:w="108" w:type="dxa"/>
          </w:tblCellMar>
        </w:tblPrEx>
        <w:trPr>
          <w:jc w:val="center"/>
        </w:trPr>
        <w:tc>
          <w:tcPr>
            <w:tcW w:w="4261" w:type="dxa"/>
            <w:vAlign w:val="top"/>
          </w:tcPr>
          <w:p w14:paraId="33C803E2">
            <w:pPr>
              <w:keepNext w:val="0"/>
              <w:keepLines w:val="0"/>
              <w:suppressLineNumbers w:val="0"/>
              <w:adjustRightInd w:val="0"/>
              <w:snapToGrid w:val="0"/>
              <w:spacing w:before="0" w:beforeAutospacing="0" w:after="0" w:afterAutospacing="0" w:line="500" w:lineRule="atLeast"/>
              <w:ind w:left="0" w:right="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授权代表（签字）：</w:t>
            </w:r>
          </w:p>
          <w:p w14:paraId="36DC40B1">
            <w:pPr>
              <w:keepNext w:val="0"/>
              <w:keepLines w:val="0"/>
              <w:suppressLineNumbers w:val="0"/>
              <w:adjustRightInd w:val="0"/>
              <w:snapToGrid w:val="0"/>
              <w:spacing w:before="0" w:beforeAutospacing="0" w:after="0" w:afterAutospacing="0" w:line="500" w:lineRule="atLeast"/>
              <w:ind w:left="0" w:right="0"/>
              <w:rPr>
                <w:rFonts w:hint="eastAsia" w:ascii="宋体" w:hAnsi="宋体" w:eastAsia="宋体" w:cs="宋体"/>
                <w:color w:val="auto"/>
                <w:sz w:val="30"/>
                <w:szCs w:val="30"/>
                <w:highlight w:val="none"/>
              </w:rPr>
            </w:pPr>
          </w:p>
        </w:tc>
        <w:tc>
          <w:tcPr>
            <w:tcW w:w="4261" w:type="dxa"/>
            <w:vAlign w:val="top"/>
          </w:tcPr>
          <w:p w14:paraId="54F11825">
            <w:pPr>
              <w:keepNext w:val="0"/>
              <w:keepLines w:val="0"/>
              <w:suppressLineNumbers w:val="0"/>
              <w:adjustRightInd w:val="0"/>
              <w:snapToGrid w:val="0"/>
              <w:spacing w:before="0" w:beforeAutospacing="0" w:after="0" w:afterAutospacing="0" w:line="500" w:lineRule="atLeast"/>
              <w:ind w:left="0" w:right="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授权代表（签字）：</w:t>
            </w:r>
          </w:p>
        </w:tc>
      </w:tr>
      <w:tr w14:paraId="715BEA3E">
        <w:tblPrEx>
          <w:tblCellMar>
            <w:top w:w="0" w:type="dxa"/>
            <w:left w:w="108" w:type="dxa"/>
            <w:bottom w:w="0" w:type="dxa"/>
            <w:right w:w="108" w:type="dxa"/>
          </w:tblCellMar>
        </w:tblPrEx>
        <w:trPr>
          <w:jc w:val="center"/>
        </w:trPr>
        <w:tc>
          <w:tcPr>
            <w:tcW w:w="4261" w:type="dxa"/>
            <w:vAlign w:val="top"/>
          </w:tcPr>
          <w:p w14:paraId="7137EC32">
            <w:pPr>
              <w:keepNext w:val="0"/>
              <w:keepLines w:val="0"/>
              <w:suppressLineNumbers w:val="0"/>
              <w:adjustRightInd w:val="0"/>
              <w:snapToGrid w:val="0"/>
              <w:spacing w:before="0" w:beforeAutospacing="0" w:after="0" w:afterAutospacing="0" w:line="500" w:lineRule="atLeast"/>
              <w:ind w:left="0" w:right="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签字日期：</w:t>
            </w:r>
            <w:r>
              <w:rPr>
                <w:rFonts w:hint="eastAsia" w:ascii="宋体" w:hAnsi="宋体" w:eastAsia="宋体" w:cs="宋体"/>
                <w:color w:val="auto"/>
                <w:sz w:val="30"/>
                <w:szCs w:val="30"/>
                <w:highlight w:val="none"/>
                <w:lang w:val="en-US" w:eastAsia="zh-CN"/>
              </w:rPr>
              <w:t xml:space="preserve">   </w:t>
            </w:r>
            <w:r>
              <w:rPr>
                <w:rFonts w:hint="eastAsia" w:ascii="宋体" w:hAnsi="宋体" w:eastAsia="宋体" w:cs="宋体"/>
                <w:color w:val="auto"/>
                <w:sz w:val="30"/>
                <w:szCs w:val="30"/>
                <w:highlight w:val="none"/>
              </w:rPr>
              <w:t>年</w:t>
            </w:r>
            <w:r>
              <w:rPr>
                <w:rFonts w:hint="eastAsia" w:ascii="宋体" w:hAnsi="宋体" w:eastAsia="宋体" w:cs="宋体"/>
                <w:color w:val="auto"/>
                <w:sz w:val="30"/>
                <w:szCs w:val="30"/>
                <w:highlight w:val="none"/>
                <w:lang w:val="en-US" w:eastAsia="zh-CN"/>
              </w:rPr>
              <w:t xml:space="preserve">  </w:t>
            </w:r>
            <w:r>
              <w:rPr>
                <w:rFonts w:hint="eastAsia" w:ascii="宋体" w:hAnsi="宋体" w:eastAsia="宋体" w:cs="宋体"/>
                <w:color w:val="auto"/>
                <w:sz w:val="30"/>
                <w:szCs w:val="30"/>
                <w:highlight w:val="none"/>
              </w:rPr>
              <w:t xml:space="preserve"> 月  日</w:t>
            </w:r>
          </w:p>
        </w:tc>
        <w:tc>
          <w:tcPr>
            <w:tcW w:w="4261" w:type="dxa"/>
            <w:vAlign w:val="top"/>
          </w:tcPr>
          <w:p w14:paraId="04EDFCDE">
            <w:pPr>
              <w:keepNext w:val="0"/>
              <w:keepLines w:val="0"/>
              <w:suppressLineNumbers w:val="0"/>
              <w:adjustRightInd w:val="0"/>
              <w:snapToGrid w:val="0"/>
              <w:spacing w:before="0" w:beforeAutospacing="0" w:after="0" w:afterAutospacing="0" w:line="500" w:lineRule="atLeast"/>
              <w:ind w:left="0" w:right="0"/>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签字日期：</w:t>
            </w:r>
            <w:r>
              <w:rPr>
                <w:rFonts w:hint="eastAsia" w:ascii="宋体" w:hAnsi="宋体" w:eastAsia="宋体" w:cs="宋体"/>
                <w:color w:val="auto"/>
                <w:sz w:val="30"/>
                <w:szCs w:val="30"/>
                <w:highlight w:val="none"/>
                <w:lang w:val="en-US" w:eastAsia="zh-CN"/>
              </w:rPr>
              <w:t xml:space="preserve">   </w:t>
            </w:r>
            <w:r>
              <w:rPr>
                <w:rFonts w:hint="eastAsia" w:ascii="宋体" w:hAnsi="宋体" w:eastAsia="宋体" w:cs="宋体"/>
                <w:color w:val="auto"/>
                <w:sz w:val="30"/>
                <w:szCs w:val="30"/>
                <w:highlight w:val="none"/>
              </w:rPr>
              <w:t>年</w:t>
            </w:r>
            <w:r>
              <w:rPr>
                <w:rFonts w:hint="eastAsia" w:ascii="宋体" w:hAnsi="宋体" w:eastAsia="宋体" w:cs="宋体"/>
                <w:color w:val="auto"/>
                <w:sz w:val="30"/>
                <w:szCs w:val="30"/>
                <w:highlight w:val="none"/>
                <w:lang w:val="en-US" w:eastAsia="zh-CN"/>
              </w:rPr>
              <w:t xml:space="preserve">  </w:t>
            </w:r>
            <w:r>
              <w:rPr>
                <w:rFonts w:hint="eastAsia" w:ascii="宋体" w:hAnsi="宋体" w:eastAsia="宋体" w:cs="宋体"/>
                <w:color w:val="auto"/>
                <w:sz w:val="30"/>
                <w:szCs w:val="30"/>
                <w:highlight w:val="none"/>
              </w:rPr>
              <w:t xml:space="preserve"> 月  日</w:t>
            </w:r>
          </w:p>
        </w:tc>
      </w:tr>
    </w:tbl>
    <w:p w14:paraId="78A2B0BC">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宋体" w:hAnsi="宋体" w:eastAsia="宋体" w:cs="宋体"/>
          <w:color w:val="auto"/>
          <w:sz w:val="24"/>
          <w:highlight w:val="none"/>
        </w:rPr>
      </w:pPr>
      <w:r>
        <w:rPr>
          <w:rFonts w:hint="eastAsia" w:ascii="宋体" w:hAnsi="宋体" w:eastAsia="宋体" w:cs="宋体"/>
          <w:color w:val="auto"/>
          <w:szCs w:val="21"/>
          <w:highlight w:val="none"/>
        </w:rPr>
        <w:t xml:space="preserve">                              </w:t>
      </w:r>
    </w:p>
    <w:p w14:paraId="635AF9EE">
      <w:pPr>
        <w:spacing w:line="480" w:lineRule="exact"/>
        <w:ind w:firstLine="315"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13937A37">
      <w:pPr>
        <w:tabs>
          <w:tab w:val="left" w:pos="8820"/>
          <w:tab w:val="left" w:pos="9345"/>
          <w:tab w:val="left" w:pos="9765"/>
        </w:tabs>
        <w:adjustRightInd w:val="0"/>
        <w:snapToGrid w:val="0"/>
        <w:spacing w:before="158" w:beforeLines="50" w:line="360" w:lineRule="auto"/>
        <w:ind w:right="384" w:rightChars="183"/>
        <w:jc w:val="center"/>
        <w:outlineLvl w:val="0"/>
        <w:rPr>
          <w:rFonts w:hint="eastAsia" w:ascii="宋体" w:hAnsi="宋体" w:eastAsia="宋体" w:cs="宋体"/>
          <w:b/>
          <w:bCs/>
          <w:color w:val="auto"/>
          <w:sz w:val="32"/>
          <w:szCs w:val="32"/>
          <w:highlight w:val="none"/>
          <w:lang w:eastAsia="zh-CN"/>
        </w:rPr>
      </w:pPr>
      <w:bookmarkStart w:id="31" w:name="_Toc26585"/>
      <w:bookmarkStart w:id="32" w:name="_Toc22250"/>
      <w:bookmarkStart w:id="33" w:name="_Toc25156"/>
      <w:bookmarkStart w:id="34" w:name="_Toc5995"/>
      <w:bookmarkStart w:id="35" w:name="_Toc27153"/>
      <w:r>
        <w:rPr>
          <w:rFonts w:hint="eastAsia" w:ascii="宋体" w:hAnsi="宋体" w:eastAsia="宋体" w:cs="宋体"/>
          <w:b/>
          <w:bCs/>
          <w:color w:val="auto"/>
          <w:sz w:val="32"/>
          <w:szCs w:val="32"/>
          <w:highlight w:val="none"/>
        </w:rPr>
        <w:t xml:space="preserve">第五章 </w:t>
      </w:r>
      <w:bookmarkEnd w:id="31"/>
      <w:bookmarkEnd w:id="32"/>
      <w:bookmarkEnd w:id="33"/>
      <w:bookmarkEnd w:id="34"/>
      <w:bookmarkEnd w:id="35"/>
      <w:r>
        <w:rPr>
          <w:rFonts w:hint="eastAsia" w:ascii="宋体" w:hAnsi="宋体" w:eastAsia="宋体" w:cs="宋体"/>
          <w:b/>
          <w:bCs/>
          <w:color w:val="auto"/>
          <w:sz w:val="32"/>
          <w:szCs w:val="32"/>
          <w:highlight w:val="none"/>
          <w:lang w:eastAsia="zh-CN"/>
        </w:rPr>
        <w:t>招募需求</w:t>
      </w:r>
    </w:p>
    <w:p w14:paraId="425AC2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一、</w:t>
      </w:r>
      <w:r>
        <w:rPr>
          <w:rFonts w:hint="eastAsia" w:ascii="宋体" w:hAnsi="宋体" w:eastAsia="宋体" w:cs="宋体"/>
          <w:b/>
          <w:bCs/>
          <w:color w:val="auto"/>
          <w:sz w:val="24"/>
          <w:szCs w:val="24"/>
          <w:highlight w:val="none"/>
          <w:lang w:val="en-US" w:eastAsia="zh-CN"/>
        </w:rPr>
        <w:t>项目概况</w:t>
      </w:r>
    </w:p>
    <w:p w14:paraId="296D82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次公开招募区域为湖南大数据交易所地面及地上、地下车位。湖南大数据交易所总高度44米，项目配电由5000KVA地下配电房和800KVA地上箱变组成，1个用电户号。根据设计规划，西侧地面充电车位12个，地下慢充做了部分预留接口，未投建充电设施。</w:t>
      </w:r>
    </w:p>
    <w:p w14:paraId="6BC1A6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二、主要建设内容</w:t>
      </w:r>
    </w:p>
    <w:p w14:paraId="3F1907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储能系统依据国家电网“尖峰平谷”的分时电价机制，削峰填谷，获得节能收益的同时降低电网负荷，促进大楼负荷平衡，要求新设分布式工商业液冷储能柜，储能容量不低于500kW/1075kWh，分别接入配电间和户外箱变；</w:t>
      </w:r>
    </w:p>
    <w:p w14:paraId="26BF53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充电桩系统要求选择智能柔性分配充电桩，西侧地面生态停车位新建不少于4个快充车位，直流快充设备单枪功率不低于60KW，8个慢充车位，地下新建7kW交流桩20台；充电站电源由户外箱变供应，要求无噪音、无污染，无辐射，真正实现绿色低碳目标。</w:t>
      </w:r>
    </w:p>
    <w:p w14:paraId="1D90CB04">
      <w:pPr>
        <w:keepNext w:val="0"/>
        <w:keepLines w:val="0"/>
        <w:pageBreakBefore w:val="0"/>
        <w:widowControl w:val="0"/>
        <w:kinsoku/>
        <w:wordWrap/>
        <w:overflowPunct/>
        <w:topLinePunct w:val="0"/>
        <w:autoSpaceDE/>
        <w:autoSpaceDN/>
        <w:bidi w:val="0"/>
        <w:adjustRightInd/>
        <w:snapToGrid/>
        <w:spacing w:beforeAutospacing="0"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drawing>
          <wp:inline distT="0" distB="0" distL="0" distR="0">
            <wp:extent cx="5270500" cy="2290445"/>
            <wp:effectExtent l="0" t="0" r="6350" b="14605"/>
            <wp:docPr id="1026" name="图片 1" descr="e0cfb4941b31e19c5fd71ef00ab6bb4"/>
            <wp:cNvGraphicFramePr/>
            <a:graphic xmlns:a="http://schemas.openxmlformats.org/drawingml/2006/main">
              <a:graphicData uri="http://schemas.openxmlformats.org/drawingml/2006/picture">
                <pic:pic xmlns:pic="http://schemas.openxmlformats.org/drawingml/2006/picture">
                  <pic:nvPicPr>
                    <pic:cNvPr id="1026" name="图片 1" descr="e0cfb4941b31e19c5fd71ef00ab6bb4"/>
                    <pic:cNvPicPr/>
                  </pic:nvPicPr>
                  <pic:blipFill>
                    <a:blip r:embed="rId6" cstate="print"/>
                    <a:srcRect/>
                    <a:stretch>
                      <a:fillRect/>
                    </a:stretch>
                  </pic:blipFill>
                  <pic:spPr>
                    <a:xfrm>
                      <a:off x="0" y="0"/>
                      <a:ext cx="5270500" cy="2290445"/>
                    </a:xfrm>
                    <a:prstGeom prst="rect">
                      <a:avLst/>
                    </a:prstGeom>
                    <a:ln>
                      <a:noFill/>
                    </a:ln>
                  </pic:spPr>
                </pic:pic>
              </a:graphicData>
            </a:graphic>
          </wp:inline>
        </w:drawing>
      </w:r>
    </w:p>
    <w:p w14:paraId="57510788">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三、具体合作方式</w:t>
      </w:r>
    </w:p>
    <w:p w14:paraId="5E3955CC">
      <w:pPr>
        <w:keepNext w:val="0"/>
        <w:keepLines w:val="0"/>
        <w:pageBreakBefore w:val="0"/>
        <w:widowControl w:val="0"/>
        <w:numPr>
          <w:ilvl w:val="0"/>
          <w:numId w:val="0"/>
        </w:numPr>
        <w:kinsoku/>
        <w:wordWrap/>
        <w:overflowPunct/>
        <w:topLinePunct w:val="0"/>
        <w:autoSpaceDE/>
        <w:autoSpaceDN/>
        <w:bidi w:val="0"/>
        <w:adjustRightInd/>
        <w:snapToGrid/>
        <w:spacing w:beforeAutospacing="0"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
          <w:bCs/>
          <w:color w:val="auto"/>
          <w:sz w:val="24"/>
          <w:szCs w:val="24"/>
          <w:highlight w:val="none"/>
          <w:lang w:val="en-US" w:eastAsia="zh-CN"/>
        </w:rPr>
        <w:t>1.合作</w:t>
      </w:r>
      <w:r>
        <w:rPr>
          <w:rFonts w:hint="eastAsia" w:ascii="宋体" w:hAnsi="宋体" w:eastAsia="宋体" w:cs="宋体"/>
          <w:b/>
          <w:bCs/>
          <w:color w:val="auto"/>
          <w:kern w:val="2"/>
          <w:sz w:val="24"/>
          <w:szCs w:val="24"/>
          <w:highlight w:val="none"/>
          <w:lang w:val="en-US" w:eastAsia="zh-CN"/>
        </w:rPr>
        <w:t>期限：</w:t>
      </w:r>
      <w:r>
        <w:rPr>
          <w:rFonts w:hint="eastAsia" w:ascii="宋体" w:hAnsi="宋体" w:eastAsia="宋体" w:cs="宋体"/>
          <w:color w:val="auto"/>
          <w:sz w:val="24"/>
          <w:szCs w:val="24"/>
          <w:highlight w:val="none"/>
          <w:lang w:val="en-US" w:eastAsia="zh-CN"/>
        </w:rPr>
        <w:t>项目合作周期约定为20年，合同签署10年一签，自项目建成并网之日起算</w:t>
      </w:r>
      <w:r>
        <w:rPr>
          <w:rFonts w:hint="eastAsia" w:ascii="宋体" w:hAnsi="宋体" w:eastAsia="宋体" w:cs="宋体"/>
          <w:b w:val="0"/>
          <w:bCs w:val="0"/>
          <w:color w:val="auto"/>
          <w:kern w:val="2"/>
          <w:sz w:val="24"/>
          <w:szCs w:val="24"/>
          <w:highlight w:val="none"/>
          <w:lang w:val="en-US" w:eastAsia="zh-CN"/>
        </w:rPr>
        <w:t>。</w:t>
      </w:r>
    </w:p>
    <w:p w14:paraId="2B7497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rPr>
        <w:t>2.合作形式：</w:t>
      </w:r>
      <w:bookmarkStart w:id="36" w:name="OLE_LINK16"/>
      <w:r>
        <w:rPr>
          <w:rFonts w:hint="eastAsia" w:ascii="宋体" w:hAnsi="宋体" w:eastAsia="宋体" w:cs="宋体"/>
          <w:color w:val="auto"/>
          <w:sz w:val="24"/>
          <w:szCs w:val="24"/>
          <w:highlight w:val="none"/>
          <w:lang w:val="en-US" w:eastAsia="zh-CN"/>
        </w:rPr>
        <w:t>采用</w:t>
      </w:r>
      <w:bookmarkStart w:id="37" w:name="OLE_LINK15"/>
      <w:r>
        <w:rPr>
          <w:rFonts w:hint="eastAsia" w:ascii="宋体" w:hAnsi="宋体" w:eastAsia="宋体" w:cs="宋体"/>
          <w:color w:val="auto"/>
          <w:sz w:val="24"/>
          <w:szCs w:val="24"/>
          <w:highlight w:val="none"/>
          <w:lang w:val="en-US" w:eastAsia="zh-CN"/>
        </w:rPr>
        <w:t>“合作方投资+融发集团（湖南大数据交易所产权方）收益分成模式”合作开发模式</w:t>
      </w:r>
      <w:bookmarkEnd w:id="36"/>
      <w:bookmarkEnd w:id="37"/>
      <w:r>
        <w:rPr>
          <w:rFonts w:hint="eastAsia" w:ascii="宋体" w:hAnsi="宋体" w:eastAsia="宋体" w:cs="宋体"/>
          <w:color w:val="auto"/>
          <w:sz w:val="24"/>
          <w:szCs w:val="24"/>
          <w:highlight w:val="none"/>
          <w:lang w:val="en-US" w:eastAsia="zh-CN"/>
        </w:rPr>
        <w:t>，与合作方签署合同能源管理合作协议，合作方负责项目全部投资，含建设期间的手续办理、设计、设备安装、调试、验收及运营期间的维护等，拥有项目资产所有权，享受国家各级政府部门项目补贴；融发集团提供场地及电力接入资源，享有项目运营收益分成及碳排放指标，且由融发申请大楼节能专项资金，相关收益由融发所有。</w:t>
      </w:r>
    </w:p>
    <w:p w14:paraId="35F798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3.收益分成比例：</w:t>
      </w:r>
      <w:r>
        <w:rPr>
          <w:rFonts w:hint="eastAsia" w:ascii="宋体" w:hAnsi="宋体" w:eastAsia="宋体" w:cs="宋体"/>
          <w:b w:val="0"/>
          <w:bCs w:val="0"/>
          <w:color w:val="auto"/>
          <w:sz w:val="24"/>
          <w:szCs w:val="24"/>
          <w:highlight w:val="none"/>
          <w:lang w:val="en-US" w:eastAsia="zh-CN"/>
        </w:rPr>
        <w:t>储能系统按削峰填谷实际收益分成，融发集团分成比例不低于18%（投标人收益分成比例不高于82%）；充电系统运营按电费全额缴纳至融发集团，充电桩服务费实际收益分成，融发集团分成比例不低于30%（投标人收益分成比例不高于70%）。</w:t>
      </w:r>
    </w:p>
    <w:p w14:paraId="15B128F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b/>
          <w:bCs/>
          <w:color w:val="auto"/>
          <w:kern w:val="2"/>
          <w:sz w:val="24"/>
          <w:szCs w:val="24"/>
          <w:highlight w:val="none"/>
          <w:lang w:val="en-US" w:eastAsia="zh-CN"/>
        </w:rPr>
        <w:t>四、结算方式</w:t>
      </w:r>
    </w:p>
    <w:p w14:paraId="61A81EC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储能、充电站系统可按月核算收益。</w:t>
      </w:r>
    </w:p>
    <w:p w14:paraId="290B612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储能系统按：（储能系统月放电收入-储能系统月充电支出）*中标分成比例进行收益分成；</w:t>
      </w:r>
    </w:p>
    <w:p w14:paraId="520BE1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充电站系统运营方利用原有箱变及用电账户，中标人将电费据实缴纳至招募人。充电桩按：实际收入充电服务费*中标分成比例进行收益分成。</w:t>
      </w:r>
    </w:p>
    <w:p w14:paraId="5AD3E86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color w:val="auto"/>
          <w:kern w:val="2"/>
          <w:sz w:val="24"/>
          <w:szCs w:val="24"/>
          <w:highlight w:val="none"/>
          <w:lang w:val="en-US" w:eastAsia="zh-CN"/>
        </w:rPr>
      </w:pPr>
      <w:bookmarkStart w:id="38" w:name="OLE_LINK3"/>
      <w:bookmarkStart w:id="39" w:name="OLE_LINK5"/>
      <w:r>
        <w:rPr>
          <w:rFonts w:hint="eastAsia" w:ascii="宋体" w:hAnsi="宋体" w:eastAsia="宋体" w:cs="宋体"/>
          <w:b/>
          <w:bCs/>
          <w:color w:val="auto"/>
          <w:kern w:val="2"/>
          <w:sz w:val="24"/>
          <w:szCs w:val="24"/>
          <w:highlight w:val="none"/>
          <w:lang w:val="en-US" w:eastAsia="zh-CN"/>
        </w:rPr>
        <w:t>五、其他条件</w:t>
      </w:r>
      <w:bookmarkEnd w:id="38"/>
      <w:bookmarkStart w:id="40" w:name="OLE_LINK4"/>
    </w:p>
    <w:p w14:paraId="400AD4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1.合作方在中标后</w:t>
      </w:r>
      <w:bookmarkEnd w:id="40"/>
      <w:r>
        <w:rPr>
          <w:rFonts w:hint="eastAsia" w:ascii="宋体" w:hAnsi="宋体" w:eastAsia="宋体" w:cs="宋体"/>
          <w:color w:val="auto"/>
          <w:sz w:val="24"/>
          <w:szCs w:val="24"/>
          <w:highlight w:val="none"/>
          <w:lang w:val="en-US" w:eastAsia="zh-CN"/>
        </w:rPr>
        <w:t>设计图纸、主要设备清单等需我方确认后才可以进场施工或安装；</w:t>
      </w:r>
    </w:p>
    <w:p w14:paraId="6B4E92D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2.设计、施工单位必须拥有国家规定的相应资质，项目竣工验收图纸及资料报我方备份；</w:t>
      </w:r>
    </w:p>
    <w:p w14:paraId="744CA1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3.施工期间产生的水、电、物业费及其他相关费用由中标方自行承担。</w:t>
      </w:r>
    </w:p>
    <w:p w14:paraId="251DC93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本项目不组织统一踏勘，建议投标人自行踏勘，以便了解项目详细情况，并做好满足比选文件要求的各项准备工作，包括拟定相关设计、建设方案，投资造价、投标报价等工作。踏勘期间有关费用由参选人自理，并承担一切安全责任。</w:t>
      </w:r>
    </w:p>
    <w:bookmarkEnd w:id="39"/>
    <w:p w14:paraId="4F9165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5.本项目由中选人全权负责充电站的投资建设、调试、运营，中选人应根据项目进度制定相关的工作流程、工作方案报比选人审核同意后方可实施。</w:t>
      </w:r>
    </w:p>
    <w:p w14:paraId="54A7F0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6.中选人提供的全部设备必须安全、可靠、稳定运行，有充分的技术措施保证充电系统安全，全部设备必须符合国家与行业相关标准。</w:t>
      </w:r>
    </w:p>
    <w:p w14:paraId="14165D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7.项目经投标方自行组织相关部门验收完毕后报我方备份。</w:t>
      </w:r>
    </w:p>
    <w:p w14:paraId="273DC8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sz w:val="24"/>
          <w:szCs w:val="24"/>
          <w:highlight w:val="none"/>
          <w:lang w:val="en-US" w:eastAsia="zh-CN"/>
        </w:rPr>
        <w:t>对于上述项目内容及要求，供应商应在投标文件中进行回应，作出承诺及说明</w:t>
      </w:r>
      <w:r>
        <w:rPr>
          <w:rFonts w:hint="eastAsia" w:ascii="宋体" w:hAnsi="宋体" w:eastAsia="宋体" w:cs="宋体"/>
          <w:b/>
          <w:bCs/>
          <w:color w:val="auto"/>
          <w:highlight w:val="none"/>
          <w:lang w:val="en-US" w:eastAsia="zh-CN"/>
        </w:rPr>
        <w:t>。</w:t>
      </w:r>
    </w:p>
    <w:p w14:paraId="74C51265">
      <w:pPr>
        <w:tabs>
          <w:tab w:val="left" w:pos="8820"/>
          <w:tab w:val="left" w:pos="9345"/>
          <w:tab w:val="left" w:pos="9765"/>
        </w:tabs>
        <w:adjustRightInd w:val="0"/>
        <w:snapToGrid w:val="0"/>
        <w:spacing w:before="158" w:beforeLines="50" w:line="360" w:lineRule="auto"/>
        <w:ind w:right="384" w:rightChars="183"/>
        <w:jc w:val="both"/>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00951BDF">
      <w:pPr>
        <w:tabs>
          <w:tab w:val="left" w:pos="8820"/>
          <w:tab w:val="left" w:pos="9345"/>
          <w:tab w:val="left" w:pos="9765"/>
        </w:tabs>
        <w:adjustRightInd w:val="0"/>
        <w:snapToGrid w:val="0"/>
        <w:spacing w:before="158" w:beforeLines="50" w:line="360" w:lineRule="auto"/>
        <w:ind w:right="384" w:rightChars="183"/>
        <w:jc w:val="center"/>
        <w:outlineLvl w:val="0"/>
        <w:rPr>
          <w:rFonts w:hint="eastAsia" w:ascii="宋体" w:hAnsi="宋体" w:eastAsia="宋体" w:cs="宋体"/>
          <w:b/>
          <w:bCs/>
          <w:color w:val="auto"/>
          <w:sz w:val="32"/>
          <w:szCs w:val="32"/>
          <w:highlight w:val="none"/>
        </w:rPr>
      </w:pPr>
      <w:bookmarkStart w:id="41" w:name="_Toc29884"/>
      <w:bookmarkStart w:id="42" w:name="_Toc17610"/>
      <w:bookmarkStart w:id="43" w:name="_Toc32212"/>
      <w:bookmarkStart w:id="44" w:name="_Toc32412"/>
      <w:bookmarkStart w:id="45" w:name="_Toc4171"/>
      <w:r>
        <w:rPr>
          <w:rFonts w:hint="eastAsia" w:ascii="宋体" w:hAnsi="宋体" w:eastAsia="宋体" w:cs="宋体"/>
          <w:b/>
          <w:bCs/>
          <w:color w:val="auto"/>
          <w:sz w:val="32"/>
          <w:szCs w:val="32"/>
          <w:highlight w:val="none"/>
        </w:rPr>
        <w:t xml:space="preserve">第六章 </w:t>
      </w:r>
      <w:r>
        <w:rPr>
          <w:rFonts w:hint="eastAsia" w:ascii="宋体" w:hAnsi="宋体" w:eastAsia="宋体" w:cs="宋体"/>
          <w:b/>
          <w:bCs/>
          <w:color w:val="auto"/>
          <w:sz w:val="32"/>
          <w:szCs w:val="32"/>
          <w:highlight w:val="none"/>
          <w:lang w:eastAsia="zh-CN"/>
        </w:rPr>
        <w:t>投标文件</w:t>
      </w:r>
      <w:r>
        <w:rPr>
          <w:rFonts w:hint="eastAsia" w:ascii="宋体" w:hAnsi="宋体" w:eastAsia="宋体" w:cs="宋体"/>
          <w:b/>
          <w:bCs/>
          <w:color w:val="auto"/>
          <w:sz w:val="32"/>
          <w:szCs w:val="32"/>
          <w:highlight w:val="none"/>
        </w:rPr>
        <w:t>组成</w:t>
      </w:r>
      <w:bookmarkEnd w:id="41"/>
      <w:bookmarkEnd w:id="42"/>
      <w:bookmarkEnd w:id="43"/>
      <w:bookmarkEnd w:id="44"/>
      <w:bookmarkEnd w:id="45"/>
    </w:p>
    <w:p w14:paraId="563028E7">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投标文件</w:t>
      </w:r>
      <w:r>
        <w:rPr>
          <w:rFonts w:hint="eastAsia" w:ascii="宋体" w:hAnsi="宋体" w:eastAsia="宋体" w:cs="宋体"/>
          <w:color w:val="auto"/>
          <w:sz w:val="21"/>
          <w:szCs w:val="21"/>
          <w:highlight w:val="none"/>
        </w:rPr>
        <w:t>应包含以下八个部分：</w:t>
      </w:r>
    </w:p>
    <w:p w14:paraId="1887EC33">
      <w:pPr>
        <w:spacing w:line="360" w:lineRule="auto"/>
        <w:rPr>
          <w:rFonts w:hint="eastAsia" w:ascii="宋体" w:hAnsi="宋体" w:eastAsia="宋体" w:cs="宋体"/>
          <w:color w:val="auto"/>
          <w:sz w:val="21"/>
          <w:szCs w:val="21"/>
          <w:highlight w:val="none"/>
        </w:rPr>
      </w:pPr>
    </w:p>
    <w:p w14:paraId="6273FAAB">
      <w:pPr>
        <w:adjustRightInd w:val="0"/>
        <w:snapToGri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一、比选响应声明</w:t>
      </w:r>
    </w:p>
    <w:p w14:paraId="6403E26D">
      <w:pPr>
        <w:adjustRightInd w:val="0"/>
        <w:snapToGrid w:val="0"/>
        <w:spacing w:line="360" w:lineRule="auto"/>
        <w:ind w:right="23" w:rightChars="11"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附件1：法定代表人身份证明(法定代表人参加比选)</w:t>
      </w:r>
    </w:p>
    <w:p w14:paraId="281A5CA5">
      <w:pPr>
        <w:adjustRightInd w:val="0"/>
        <w:snapToGrid w:val="0"/>
        <w:spacing w:line="360" w:lineRule="auto"/>
        <w:ind w:right="23" w:rightChars="11"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附件2：法定代表人授权书(委托代理人参加比选)</w:t>
      </w:r>
    </w:p>
    <w:p w14:paraId="4CD17C11">
      <w:pPr>
        <w:adjustRightInd w:val="0"/>
        <w:snapToGri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二、投标保证金</w:t>
      </w:r>
    </w:p>
    <w:p w14:paraId="781D9FFD">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本项目不要求提供投标保证金</w:t>
      </w:r>
    </w:p>
    <w:p w14:paraId="637A9FB2">
      <w:pPr>
        <w:adjustRightInd w:val="0"/>
        <w:snapToGri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的资格证明材料</w:t>
      </w:r>
    </w:p>
    <w:p w14:paraId="34FA27B2">
      <w:pPr>
        <w:adjustRightInd w:val="0"/>
        <w:snapToGrid w:val="0"/>
        <w:spacing w:line="360" w:lineRule="auto"/>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附件3：投标人基本情况表</w:t>
      </w:r>
    </w:p>
    <w:p w14:paraId="066F4D51">
      <w:pPr>
        <w:adjustRightInd w:val="0"/>
        <w:snapToGrid w:val="0"/>
        <w:spacing w:line="360" w:lineRule="auto"/>
        <w:ind w:firstLine="420" w:firstLineChars="20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附件4：投标人的资格证明材料</w:t>
      </w:r>
    </w:p>
    <w:p w14:paraId="3CE95BE2">
      <w:pPr>
        <w:pStyle w:val="16"/>
        <w:adjustRightInd w:val="0"/>
        <w:snapToGrid w:val="0"/>
        <w:spacing w:before="0" w:beforeAutospacing="0" w:after="0" w:afterAutospacing="0" w:line="360" w:lineRule="auto"/>
        <w:jc w:val="both"/>
        <w:rPr>
          <w:rFonts w:hint="eastAsia" w:ascii="宋体" w:hAnsi="宋体" w:eastAsia="宋体" w:cs="宋体"/>
          <w:bCs/>
          <w:color w:val="auto"/>
          <w:spacing w:val="0"/>
          <w:sz w:val="21"/>
          <w:szCs w:val="21"/>
          <w:highlight w:val="none"/>
          <w:lang w:eastAsia="zh-CN"/>
        </w:rPr>
      </w:pPr>
      <w:r>
        <w:rPr>
          <w:rFonts w:hint="eastAsia" w:ascii="宋体" w:hAnsi="宋体" w:eastAsia="宋体" w:cs="宋体"/>
          <w:b/>
          <w:color w:val="auto"/>
          <w:spacing w:val="0"/>
          <w:kern w:val="2"/>
          <w:sz w:val="21"/>
          <w:szCs w:val="21"/>
          <w:highlight w:val="none"/>
        </w:rPr>
        <w:t>四、</w:t>
      </w:r>
      <w:r>
        <w:rPr>
          <w:rFonts w:hint="eastAsia" w:ascii="宋体" w:hAnsi="宋体" w:eastAsia="宋体" w:cs="宋体"/>
          <w:b/>
          <w:color w:val="auto"/>
          <w:spacing w:val="0"/>
          <w:kern w:val="2"/>
          <w:sz w:val="21"/>
          <w:szCs w:val="21"/>
          <w:highlight w:val="none"/>
          <w:lang w:eastAsia="zh-CN"/>
        </w:rPr>
        <w:t>服务方案说明</w:t>
      </w:r>
    </w:p>
    <w:p w14:paraId="05EE7B7B">
      <w:pPr>
        <w:pStyle w:val="16"/>
        <w:adjustRightInd w:val="0"/>
        <w:snapToGrid w:val="0"/>
        <w:spacing w:before="0" w:beforeAutospacing="0" w:after="0" w:afterAutospacing="0" w:line="360" w:lineRule="auto"/>
        <w:jc w:val="both"/>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kern w:val="2"/>
          <w:sz w:val="21"/>
          <w:szCs w:val="21"/>
          <w:highlight w:val="none"/>
        </w:rPr>
        <w:t>五、技术/商务响应与偏离表</w:t>
      </w:r>
    </w:p>
    <w:p w14:paraId="00BDB0EB">
      <w:pPr>
        <w:pStyle w:val="16"/>
        <w:adjustRightInd w:val="0"/>
        <w:snapToGrid w:val="0"/>
        <w:spacing w:before="0" w:beforeAutospacing="0" w:after="0" w:afterAutospacing="0" w:line="360" w:lineRule="auto"/>
        <w:jc w:val="both"/>
        <w:rPr>
          <w:rFonts w:hint="eastAsia" w:ascii="宋体" w:hAnsi="宋体" w:eastAsia="宋体" w:cs="宋体"/>
          <w:b/>
          <w:bCs/>
          <w:color w:val="auto"/>
          <w:spacing w:val="0"/>
          <w:sz w:val="21"/>
          <w:szCs w:val="21"/>
          <w:highlight w:val="none"/>
        </w:rPr>
      </w:pPr>
      <w:r>
        <w:rPr>
          <w:rFonts w:hint="eastAsia" w:ascii="宋体" w:hAnsi="宋体" w:eastAsia="宋体" w:cs="宋体"/>
          <w:b/>
          <w:color w:val="auto"/>
          <w:spacing w:val="0"/>
          <w:kern w:val="2"/>
          <w:sz w:val="21"/>
          <w:szCs w:val="21"/>
          <w:highlight w:val="none"/>
        </w:rPr>
        <w:t>六、符合比选文件规定的证明文件</w:t>
      </w:r>
    </w:p>
    <w:p w14:paraId="25FFD91B">
      <w:pPr>
        <w:pStyle w:val="16"/>
        <w:adjustRightInd w:val="0"/>
        <w:snapToGrid w:val="0"/>
        <w:spacing w:before="0" w:beforeAutospacing="0" w:after="0" w:afterAutospacing="0" w:line="360" w:lineRule="auto"/>
        <w:jc w:val="both"/>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kern w:val="2"/>
          <w:sz w:val="21"/>
          <w:szCs w:val="21"/>
          <w:highlight w:val="none"/>
        </w:rPr>
        <w:t>七、报价一览表</w:t>
      </w:r>
    </w:p>
    <w:p w14:paraId="1CB0766E">
      <w:pPr>
        <w:pStyle w:val="16"/>
        <w:adjustRightInd w:val="0"/>
        <w:snapToGrid w:val="0"/>
        <w:spacing w:before="0" w:beforeAutospacing="0" w:after="0" w:afterAutospacing="0" w:line="360" w:lineRule="auto"/>
        <w:jc w:val="both"/>
        <w:rPr>
          <w:rFonts w:hint="eastAsia" w:ascii="宋体" w:hAnsi="宋体" w:eastAsia="宋体" w:cs="宋体"/>
          <w:b/>
          <w:color w:val="auto"/>
          <w:spacing w:val="0"/>
          <w:sz w:val="21"/>
          <w:szCs w:val="21"/>
          <w:highlight w:val="none"/>
        </w:rPr>
      </w:pPr>
      <w:r>
        <w:rPr>
          <w:rFonts w:hint="eastAsia" w:ascii="宋体" w:hAnsi="宋体" w:eastAsia="宋体" w:cs="宋体"/>
          <w:b/>
          <w:color w:val="auto"/>
          <w:spacing w:val="0"/>
          <w:kern w:val="2"/>
          <w:sz w:val="21"/>
          <w:szCs w:val="21"/>
          <w:highlight w:val="none"/>
        </w:rPr>
        <w:t>八、</w:t>
      </w:r>
      <w:r>
        <w:rPr>
          <w:rFonts w:hint="eastAsia" w:ascii="宋体" w:hAnsi="宋体" w:eastAsia="宋体" w:cs="宋体"/>
          <w:b/>
          <w:color w:val="auto"/>
          <w:spacing w:val="0"/>
          <w:kern w:val="2"/>
          <w:sz w:val="21"/>
          <w:szCs w:val="21"/>
          <w:highlight w:val="none"/>
          <w:lang w:eastAsia="zh-CN"/>
        </w:rPr>
        <w:t>投标人</w:t>
      </w:r>
      <w:r>
        <w:rPr>
          <w:rFonts w:hint="eastAsia" w:ascii="宋体" w:hAnsi="宋体" w:eastAsia="宋体" w:cs="宋体"/>
          <w:b/>
          <w:color w:val="auto"/>
          <w:spacing w:val="0"/>
          <w:kern w:val="2"/>
          <w:sz w:val="21"/>
          <w:szCs w:val="21"/>
          <w:highlight w:val="none"/>
        </w:rPr>
        <w:t>认为需要提供的其它资料</w:t>
      </w:r>
    </w:p>
    <w:p w14:paraId="7AF70991">
      <w:pPr>
        <w:spacing w:line="360" w:lineRule="exact"/>
        <w:rPr>
          <w:rFonts w:hint="eastAsia" w:ascii="宋体" w:hAnsi="宋体" w:eastAsia="宋体" w:cs="宋体"/>
          <w:b/>
          <w:color w:val="auto"/>
          <w:highlight w:val="none"/>
        </w:rPr>
      </w:pPr>
    </w:p>
    <w:p w14:paraId="43D336FE">
      <w:pPr>
        <w:spacing w:line="360" w:lineRule="exact"/>
        <w:rPr>
          <w:rFonts w:hint="eastAsia" w:ascii="宋体" w:hAnsi="宋体" w:eastAsia="宋体" w:cs="宋体"/>
          <w:b/>
          <w:color w:val="auto"/>
          <w:highlight w:val="none"/>
        </w:rPr>
      </w:pPr>
    </w:p>
    <w:p w14:paraId="31B14C3E">
      <w:pPr>
        <w:spacing w:line="360" w:lineRule="exact"/>
        <w:rPr>
          <w:rFonts w:hint="eastAsia" w:ascii="宋体" w:hAnsi="宋体" w:eastAsia="宋体" w:cs="宋体"/>
          <w:b/>
          <w:color w:val="auto"/>
          <w:highlight w:val="none"/>
        </w:rPr>
      </w:pPr>
    </w:p>
    <w:p w14:paraId="63432091">
      <w:pPr>
        <w:spacing w:line="360" w:lineRule="exact"/>
        <w:rPr>
          <w:rFonts w:hint="eastAsia" w:ascii="宋体" w:hAnsi="宋体" w:eastAsia="宋体" w:cs="宋体"/>
          <w:b/>
          <w:color w:val="auto"/>
          <w:highlight w:val="none"/>
        </w:rPr>
      </w:pPr>
    </w:p>
    <w:p w14:paraId="71376D07">
      <w:pPr>
        <w:spacing w:line="360" w:lineRule="exact"/>
        <w:rPr>
          <w:rFonts w:hint="eastAsia" w:ascii="宋体" w:hAnsi="宋体" w:eastAsia="宋体" w:cs="宋体"/>
          <w:b/>
          <w:color w:val="auto"/>
          <w:highlight w:val="none"/>
        </w:rPr>
      </w:pPr>
    </w:p>
    <w:p w14:paraId="04F7DA6E">
      <w:pPr>
        <w:adjustRightInd w:val="0"/>
        <w:snapToGrid w:val="0"/>
        <w:spacing w:line="360" w:lineRule="auto"/>
        <w:jc w:val="center"/>
        <w:outlineLvl w:val="1"/>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bookmarkStart w:id="46" w:name="_Toc16984"/>
      <w:r>
        <w:rPr>
          <w:rFonts w:hint="eastAsia" w:ascii="宋体" w:hAnsi="宋体" w:eastAsia="宋体" w:cs="宋体"/>
          <w:b/>
          <w:color w:val="auto"/>
          <w:sz w:val="32"/>
          <w:szCs w:val="32"/>
          <w:highlight w:val="none"/>
        </w:rPr>
        <w:t>一、比选响应声明</w:t>
      </w:r>
      <w:bookmarkEnd w:id="46"/>
    </w:p>
    <w:p w14:paraId="503E5198">
      <w:pPr>
        <w:adjustRightInd w:val="0"/>
        <w:snapToGrid w:val="0"/>
        <w:spacing w:line="360" w:lineRule="auto"/>
        <w:rPr>
          <w:rFonts w:hint="eastAsia" w:ascii="宋体" w:hAnsi="宋体" w:eastAsia="宋体" w:cs="宋体"/>
          <w:color w:val="auto"/>
          <w:sz w:val="24"/>
          <w:highlight w:val="none"/>
        </w:rPr>
      </w:pPr>
    </w:p>
    <w:p w14:paraId="18458A28">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招募人</w:t>
      </w:r>
      <w:r>
        <w:rPr>
          <w:rFonts w:hint="eastAsia" w:ascii="宋体" w:hAnsi="宋体" w:eastAsia="宋体" w:cs="宋体"/>
          <w:color w:val="auto"/>
          <w:sz w:val="21"/>
          <w:szCs w:val="21"/>
          <w:highlight w:val="none"/>
        </w:rPr>
        <w:t>)：</w:t>
      </w:r>
    </w:p>
    <w:p w14:paraId="5C943E08">
      <w:pP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我方己仔细研究了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（项目名称）的比选文件的全部内容，知悉参加比选的风险，我方承诺接受比选文件的全部条款且无任何异议。</w:t>
      </w:r>
    </w:p>
    <w:p w14:paraId="0A0120A4">
      <w:pPr>
        <w:pStyle w:val="16"/>
        <w:adjustRightInd w:val="0"/>
        <w:snapToGrid w:val="0"/>
        <w:spacing w:before="0" w:beforeAutospacing="0" w:after="0" w:afterAutospacing="0" w:line="360" w:lineRule="auto"/>
        <w:ind w:firstLine="420" w:firstLineChars="200"/>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一、我方同意在比选文件中规定的提交</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截止时间起</w:t>
      </w:r>
      <w:r>
        <w:rPr>
          <w:rFonts w:hint="eastAsia" w:ascii="宋体" w:hAnsi="宋体" w:eastAsia="宋体" w:cs="宋体"/>
          <w:color w:val="auto"/>
          <w:spacing w:val="0"/>
          <w:kern w:val="2"/>
          <w:sz w:val="21"/>
          <w:szCs w:val="21"/>
          <w:highlight w:val="none"/>
          <w:u w:val="single"/>
        </w:rPr>
        <w:t xml:space="preserve"> </w:t>
      </w:r>
      <w:r>
        <w:rPr>
          <w:rFonts w:hint="eastAsia" w:ascii="宋体" w:hAnsi="宋体" w:eastAsia="宋体" w:cs="宋体"/>
          <w:color w:val="auto"/>
          <w:spacing w:val="0"/>
          <w:kern w:val="2"/>
          <w:sz w:val="21"/>
          <w:szCs w:val="21"/>
          <w:highlight w:val="none"/>
          <w:u w:val="single"/>
          <w:lang w:val="en-US" w:eastAsia="zh-CN"/>
        </w:rPr>
        <w:t>90</w:t>
      </w:r>
      <w:r>
        <w:rPr>
          <w:rFonts w:hint="eastAsia" w:ascii="宋体" w:hAnsi="宋体" w:eastAsia="宋体" w:cs="宋体"/>
          <w:color w:val="auto"/>
          <w:spacing w:val="0"/>
          <w:kern w:val="2"/>
          <w:sz w:val="21"/>
          <w:szCs w:val="21"/>
          <w:highlight w:val="none"/>
          <w:u w:val="single"/>
        </w:rPr>
        <w:t xml:space="preserve">  </w:t>
      </w:r>
      <w:r>
        <w:rPr>
          <w:rFonts w:hint="eastAsia" w:ascii="宋体" w:hAnsi="宋体" w:eastAsia="宋体" w:cs="宋体"/>
          <w:color w:val="auto"/>
          <w:spacing w:val="0"/>
          <w:kern w:val="2"/>
          <w:sz w:val="21"/>
          <w:szCs w:val="21"/>
          <w:highlight w:val="none"/>
        </w:rPr>
        <w:t>日内(</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有效期)遵守本</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中的承诺且在此期限期满之前均具有法律约束力。</w:t>
      </w:r>
    </w:p>
    <w:p w14:paraId="7936ACC6">
      <w:pPr>
        <w:pStyle w:val="16"/>
        <w:adjustRightInd w:val="0"/>
        <w:snapToGrid w:val="0"/>
        <w:spacing w:before="0" w:beforeAutospacing="0" w:after="0" w:afterAutospacing="0" w:line="360" w:lineRule="auto"/>
        <w:ind w:firstLine="420" w:firstLineChars="200"/>
        <w:jc w:val="both"/>
        <w:rPr>
          <w:rFonts w:hint="eastAsia" w:ascii="宋体" w:hAnsi="宋体" w:eastAsia="宋体" w:cs="宋体"/>
          <w:bCs/>
          <w:color w:val="auto"/>
          <w:spacing w:val="0"/>
          <w:sz w:val="21"/>
          <w:szCs w:val="21"/>
          <w:highlight w:val="none"/>
        </w:rPr>
      </w:pPr>
      <w:r>
        <w:rPr>
          <w:rFonts w:hint="eastAsia" w:ascii="宋体" w:hAnsi="宋体" w:eastAsia="宋体" w:cs="宋体"/>
          <w:color w:val="auto"/>
          <w:spacing w:val="0"/>
          <w:kern w:val="2"/>
          <w:sz w:val="21"/>
          <w:szCs w:val="21"/>
          <w:highlight w:val="none"/>
        </w:rPr>
        <w:t>二、我方提交</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u w:val="single"/>
          <w:lang w:val="en-US" w:eastAsia="zh-CN"/>
        </w:rPr>
        <w:t>正本1份，副本4份，</w:t>
      </w:r>
      <w:r>
        <w:rPr>
          <w:rFonts w:hint="eastAsia" w:ascii="宋体" w:hAnsi="宋体" w:eastAsia="宋体" w:cs="宋体"/>
          <w:color w:val="auto"/>
          <w:spacing w:val="0"/>
          <w:kern w:val="2"/>
          <w:sz w:val="21"/>
          <w:szCs w:val="21"/>
          <w:highlight w:val="none"/>
          <w:u w:val="single"/>
        </w:rPr>
        <w:t>电子文件1份</w:t>
      </w:r>
      <w:r>
        <w:rPr>
          <w:rFonts w:hint="eastAsia" w:ascii="宋体" w:hAnsi="宋体" w:eastAsia="宋体" w:cs="宋体"/>
          <w:color w:val="auto"/>
          <w:spacing w:val="0"/>
          <w:kern w:val="2"/>
          <w:sz w:val="21"/>
          <w:szCs w:val="21"/>
          <w:highlight w:val="none"/>
        </w:rPr>
        <w:t>，并保证</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提供的数据和材料是真实、准确的。否则，愿承担一切</w:t>
      </w:r>
      <w:r>
        <w:rPr>
          <w:rFonts w:hint="eastAsia" w:ascii="宋体" w:hAnsi="宋体" w:eastAsia="宋体" w:cs="宋体"/>
          <w:bCs/>
          <w:color w:val="auto"/>
          <w:spacing w:val="0"/>
          <w:kern w:val="2"/>
          <w:sz w:val="21"/>
          <w:szCs w:val="21"/>
          <w:highlight w:val="none"/>
        </w:rPr>
        <w:t>法律责任。</w:t>
      </w:r>
    </w:p>
    <w:p w14:paraId="5055A23A">
      <w:pPr>
        <w:pStyle w:val="16"/>
        <w:adjustRightInd w:val="0"/>
        <w:snapToGrid w:val="0"/>
        <w:spacing w:before="0" w:beforeAutospacing="0" w:after="0" w:afterAutospacing="0" w:line="360" w:lineRule="auto"/>
        <w:ind w:firstLine="420" w:firstLineChars="200"/>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三、我方愿意向贵方提供任何与本项</w:t>
      </w:r>
      <w:r>
        <w:rPr>
          <w:rFonts w:hint="eastAsia" w:ascii="宋体" w:hAnsi="宋体" w:eastAsia="宋体" w:cs="宋体"/>
          <w:color w:val="auto"/>
          <w:spacing w:val="0"/>
          <w:kern w:val="2"/>
          <w:sz w:val="21"/>
          <w:szCs w:val="21"/>
          <w:highlight w:val="none"/>
          <w:lang w:val="en-US" w:eastAsia="zh-CN"/>
        </w:rPr>
        <w:t>招募</w:t>
      </w:r>
      <w:r>
        <w:rPr>
          <w:rFonts w:hint="eastAsia" w:ascii="宋体" w:hAnsi="宋体" w:eastAsia="宋体" w:cs="宋体"/>
          <w:color w:val="auto"/>
          <w:spacing w:val="0"/>
          <w:kern w:val="2"/>
          <w:sz w:val="21"/>
          <w:szCs w:val="21"/>
          <w:highlight w:val="none"/>
        </w:rPr>
        <w:t>有关的数据、情况和技术资料。若贵方需要，我方愿意提供我方作出的一切承诺的证明材料。</w:t>
      </w:r>
    </w:p>
    <w:p w14:paraId="2C792EBE">
      <w:pPr>
        <w:pStyle w:val="16"/>
        <w:adjustRightInd w:val="0"/>
        <w:snapToGrid w:val="0"/>
        <w:spacing w:before="0" w:beforeAutospacing="0" w:after="0" w:afterAutospacing="0" w:line="360" w:lineRule="auto"/>
        <w:ind w:firstLine="420" w:firstLineChars="200"/>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四、我方愿意按比选文件规定和评标委员会要求重新提交</w:t>
      </w:r>
      <w:r>
        <w:rPr>
          <w:rFonts w:hint="eastAsia" w:ascii="宋体" w:hAnsi="宋体" w:eastAsia="宋体" w:cs="宋体"/>
          <w:color w:val="auto"/>
          <w:spacing w:val="0"/>
          <w:kern w:val="2"/>
          <w:sz w:val="21"/>
          <w:szCs w:val="21"/>
          <w:highlight w:val="none"/>
          <w:lang w:eastAsia="zh-CN"/>
        </w:rPr>
        <w:t>投标文件</w:t>
      </w:r>
      <w:r>
        <w:rPr>
          <w:rFonts w:hint="eastAsia" w:ascii="宋体" w:hAnsi="宋体" w:eastAsia="宋体" w:cs="宋体"/>
          <w:color w:val="auto"/>
          <w:spacing w:val="0"/>
          <w:kern w:val="2"/>
          <w:sz w:val="21"/>
          <w:szCs w:val="21"/>
          <w:highlight w:val="none"/>
        </w:rPr>
        <w:t>。</w:t>
      </w:r>
    </w:p>
    <w:p w14:paraId="0C797223">
      <w:pPr>
        <w:pStyle w:val="16"/>
        <w:adjustRightInd w:val="0"/>
        <w:snapToGrid w:val="0"/>
        <w:spacing w:before="0" w:beforeAutospacing="0" w:after="0" w:afterAutospacing="0" w:line="360" w:lineRule="auto"/>
        <w:ind w:firstLine="420" w:firstLineChars="200"/>
        <w:jc w:val="both"/>
        <w:rPr>
          <w:rFonts w:hint="eastAsia" w:ascii="宋体" w:hAnsi="宋体" w:eastAsia="宋体" w:cs="宋体"/>
          <w:color w:val="auto"/>
          <w:spacing w:val="0"/>
          <w:sz w:val="21"/>
          <w:szCs w:val="21"/>
          <w:highlight w:val="none"/>
        </w:rPr>
      </w:pPr>
      <w:r>
        <w:rPr>
          <w:rFonts w:hint="eastAsia" w:ascii="宋体" w:hAnsi="宋体" w:eastAsia="宋体" w:cs="宋体"/>
          <w:color w:val="auto"/>
          <w:spacing w:val="0"/>
          <w:kern w:val="2"/>
          <w:sz w:val="21"/>
          <w:szCs w:val="21"/>
          <w:highlight w:val="none"/>
        </w:rPr>
        <w:t>五、我方承诺遵守法律法规的有关规定，保证在获得</w:t>
      </w:r>
      <w:r>
        <w:rPr>
          <w:rFonts w:hint="eastAsia" w:ascii="宋体" w:hAnsi="宋体" w:eastAsia="宋体" w:cs="宋体"/>
          <w:color w:val="auto"/>
          <w:spacing w:val="0"/>
          <w:kern w:val="2"/>
          <w:sz w:val="21"/>
          <w:szCs w:val="21"/>
          <w:highlight w:val="none"/>
          <w:lang w:val="en-US" w:eastAsia="zh-CN"/>
        </w:rPr>
        <w:t>中标</w:t>
      </w:r>
      <w:r>
        <w:rPr>
          <w:rFonts w:hint="eastAsia" w:ascii="宋体" w:hAnsi="宋体" w:eastAsia="宋体" w:cs="宋体"/>
          <w:color w:val="auto"/>
          <w:spacing w:val="0"/>
          <w:kern w:val="2"/>
          <w:sz w:val="21"/>
          <w:szCs w:val="21"/>
          <w:highlight w:val="none"/>
        </w:rPr>
        <w:t>资格后，按照比选文件确定的事项签订采购合同，履行双方所签订的合同，并承担合同规定的责任和义务。</w:t>
      </w:r>
    </w:p>
    <w:p w14:paraId="18EB3C46">
      <w:pPr>
        <w:pStyle w:val="16"/>
        <w:adjustRightInd w:val="0"/>
        <w:snapToGrid w:val="0"/>
        <w:spacing w:before="0" w:beforeAutospacing="0" w:after="0" w:afterAutospacing="0" w:line="360" w:lineRule="auto"/>
        <w:jc w:val="both"/>
        <w:rPr>
          <w:rFonts w:hint="eastAsia" w:ascii="宋体" w:hAnsi="宋体" w:eastAsia="宋体" w:cs="宋体"/>
          <w:color w:val="auto"/>
          <w:spacing w:val="0"/>
          <w:sz w:val="21"/>
          <w:szCs w:val="21"/>
          <w:highlight w:val="none"/>
        </w:rPr>
      </w:pPr>
    </w:p>
    <w:p w14:paraId="10C582B9">
      <w:pPr>
        <w:adjustRightInd w:val="0"/>
        <w:snapToGrid w:val="0"/>
        <w:spacing w:line="360" w:lineRule="auto"/>
        <w:ind w:right="24"/>
        <w:rPr>
          <w:rFonts w:hint="eastAsia" w:ascii="宋体" w:hAnsi="宋体" w:eastAsia="宋体" w:cs="宋体"/>
          <w:bCs/>
          <w:color w:val="auto"/>
          <w:sz w:val="21"/>
          <w:szCs w:val="21"/>
          <w:highlight w:val="none"/>
        </w:rPr>
      </w:pPr>
    </w:p>
    <w:p w14:paraId="36C40688">
      <w:pPr>
        <w:adjustRightInd w:val="0"/>
        <w:snapToGrid w:val="0"/>
        <w:spacing w:line="360" w:lineRule="auto"/>
        <w:ind w:right="24"/>
        <w:rPr>
          <w:rFonts w:hint="eastAsia" w:ascii="宋体" w:hAnsi="宋体" w:eastAsia="宋体" w:cs="宋体"/>
          <w:bCs/>
          <w:color w:val="auto"/>
          <w:sz w:val="21"/>
          <w:szCs w:val="21"/>
          <w:highlight w:val="none"/>
        </w:rPr>
      </w:pPr>
    </w:p>
    <w:p w14:paraId="0E2B4454">
      <w:pPr>
        <w:adjustRightInd w:val="0"/>
        <w:snapToGrid w:val="0"/>
        <w:spacing w:line="360" w:lineRule="auto"/>
        <w:ind w:right="23" w:rightChars="11"/>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附件1：</w:t>
      </w:r>
      <w:r>
        <w:rPr>
          <w:rFonts w:hint="eastAsia" w:ascii="宋体" w:hAnsi="宋体" w:eastAsia="宋体" w:cs="宋体"/>
          <w:color w:val="auto"/>
          <w:sz w:val="21"/>
          <w:szCs w:val="21"/>
          <w:highlight w:val="none"/>
        </w:rPr>
        <w:t>法定代表人身份证明(法定代表人参加比选)</w:t>
      </w:r>
    </w:p>
    <w:p w14:paraId="0ADF3F9E">
      <w:pPr>
        <w:adjustRightInd w:val="0"/>
        <w:snapToGrid w:val="0"/>
        <w:spacing w:line="360" w:lineRule="auto"/>
        <w:ind w:right="23" w:rightChars="11"/>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附件2</w:t>
      </w:r>
      <w:r>
        <w:rPr>
          <w:rFonts w:hint="eastAsia" w:ascii="宋体" w:hAnsi="宋体" w:eastAsia="宋体" w:cs="宋体"/>
          <w:color w:val="auto"/>
          <w:sz w:val="21"/>
          <w:szCs w:val="21"/>
          <w:highlight w:val="none"/>
        </w:rPr>
        <w:t>：法定代表人授权书(委托代理人参加比选)</w:t>
      </w:r>
    </w:p>
    <w:p w14:paraId="2CF680EE">
      <w:pPr>
        <w:pStyle w:val="16"/>
        <w:adjustRightInd w:val="0"/>
        <w:snapToGrid w:val="0"/>
        <w:spacing w:before="0" w:beforeAutospacing="0" w:after="0" w:afterAutospacing="0" w:line="360" w:lineRule="auto"/>
        <w:jc w:val="both"/>
        <w:rPr>
          <w:rFonts w:hint="eastAsia" w:ascii="宋体" w:hAnsi="宋体" w:eastAsia="宋体" w:cs="宋体"/>
          <w:color w:val="auto"/>
          <w:spacing w:val="0"/>
          <w:sz w:val="21"/>
          <w:szCs w:val="21"/>
          <w:highlight w:val="none"/>
        </w:rPr>
      </w:pPr>
    </w:p>
    <w:p w14:paraId="57707B4A">
      <w:pPr>
        <w:pStyle w:val="16"/>
        <w:adjustRightInd w:val="0"/>
        <w:snapToGrid w:val="0"/>
        <w:spacing w:before="0" w:beforeAutospacing="0" w:after="0" w:afterAutospacing="0" w:line="360" w:lineRule="auto"/>
        <w:jc w:val="both"/>
        <w:rPr>
          <w:rFonts w:hint="eastAsia" w:ascii="宋体" w:hAnsi="宋体" w:eastAsia="宋体" w:cs="宋体"/>
          <w:color w:val="auto"/>
          <w:spacing w:val="0"/>
          <w:sz w:val="21"/>
          <w:szCs w:val="21"/>
          <w:highlight w:val="none"/>
        </w:rPr>
      </w:pPr>
    </w:p>
    <w:p w14:paraId="6BE0E0C5">
      <w:pPr>
        <w:adjustRightInd w:val="0"/>
        <w:snapToGrid w:val="0"/>
        <w:spacing w:line="360" w:lineRule="auto"/>
        <w:ind w:righ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u w:val="single"/>
        </w:rPr>
        <w:t xml:space="preserve">      全称      </w:t>
      </w:r>
      <w:r>
        <w:rPr>
          <w:rFonts w:hint="eastAsia" w:ascii="宋体" w:hAnsi="宋体" w:eastAsia="宋体" w:cs="宋体"/>
          <w:color w:val="auto"/>
          <w:sz w:val="21"/>
          <w:szCs w:val="21"/>
          <w:highlight w:val="none"/>
        </w:rPr>
        <w:t>（盖单位章）</w:t>
      </w:r>
    </w:p>
    <w:p w14:paraId="38D29C16">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 (签字或盖章)：</w:t>
      </w:r>
      <w:r>
        <w:rPr>
          <w:rFonts w:hint="eastAsia" w:ascii="宋体" w:hAnsi="宋体" w:eastAsia="宋体" w:cs="宋体"/>
          <w:color w:val="auto"/>
          <w:sz w:val="21"/>
          <w:szCs w:val="21"/>
          <w:highlight w:val="none"/>
          <w:u w:val="single"/>
        </w:rPr>
        <w:t xml:space="preserve">            </w:t>
      </w:r>
    </w:p>
    <w:p w14:paraId="11E2B64B">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7508354E">
      <w:pPr>
        <w:adjustRightInd w:val="0"/>
        <w:snapToGrid w:val="0"/>
        <w:spacing w:line="360" w:lineRule="auto"/>
        <w:ind w:right="24"/>
        <w:rPr>
          <w:rFonts w:hint="eastAsia" w:ascii="宋体" w:hAnsi="宋体" w:eastAsia="宋体" w:cs="宋体"/>
          <w:b/>
          <w:color w:val="auto"/>
          <w:sz w:val="24"/>
          <w:highlight w:val="none"/>
        </w:rPr>
      </w:pPr>
      <w:r>
        <w:rPr>
          <w:rFonts w:hint="eastAsia" w:ascii="宋体" w:hAnsi="宋体" w:eastAsia="宋体" w:cs="宋体"/>
          <w:bCs/>
          <w:color w:val="auto"/>
          <w:sz w:val="24"/>
          <w:highlight w:val="none"/>
        </w:rPr>
        <w:br w:type="page"/>
      </w:r>
      <w:r>
        <w:rPr>
          <w:rFonts w:hint="eastAsia" w:ascii="宋体" w:hAnsi="宋体" w:eastAsia="宋体" w:cs="宋体"/>
          <w:b/>
          <w:color w:val="auto"/>
          <w:sz w:val="24"/>
          <w:highlight w:val="none"/>
        </w:rPr>
        <w:t>附件1：</w:t>
      </w:r>
    </w:p>
    <w:p w14:paraId="5F043AA1">
      <w:pPr>
        <w:adjustRightInd w:val="0"/>
        <w:snapToGrid w:val="0"/>
        <w:spacing w:line="360" w:lineRule="auto"/>
        <w:ind w:right="24"/>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法定代表人身份证明(法定代表人参加比选)</w:t>
      </w:r>
    </w:p>
    <w:p w14:paraId="11F56ACB">
      <w:pPr>
        <w:snapToGrid w:val="0"/>
        <w:spacing w:line="480" w:lineRule="auto"/>
        <w:rPr>
          <w:rFonts w:hint="eastAsia" w:ascii="宋体" w:hAnsi="宋体" w:eastAsia="宋体" w:cs="宋体"/>
          <w:color w:val="auto"/>
          <w:szCs w:val="21"/>
          <w:highlight w:val="none"/>
        </w:rPr>
      </w:pPr>
    </w:p>
    <w:p w14:paraId="488415A5">
      <w:pPr>
        <w:autoSpaceDE w:val="0"/>
        <w:autoSpaceDN w:val="0"/>
        <w:adjustRightInd w:val="0"/>
        <w:snapToGrid w:val="0"/>
        <w:spacing w:before="158" w:beforeLines="50"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kern w:val="0"/>
          <w:sz w:val="21"/>
          <w:szCs w:val="21"/>
          <w:highlight w:val="none"/>
        </w:rPr>
        <w:t>名称：</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 </w:t>
      </w:r>
    </w:p>
    <w:p w14:paraId="60792398">
      <w:pPr>
        <w:autoSpaceDE w:val="0"/>
        <w:autoSpaceDN w:val="0"/>
        <w:adjustRightInd w:val="0"/>
        <w:snapToGrid w:val="0"/>
        <w:spacing w:before="158" w:beforeLines="50"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注册号：</w:t>
      </w:r>
      <w:r>
        <w:rPr>
          <w:rFonts w:hint="eastAsia" w:ascii="宋体" w:hAnsi="宋体" w:eastAsia="宋体" w:cs="宋体"/>
          <w:color w:val="auto"/>
          <w:kern w:val="0"/>
          <w:sz w:val="21"/>
          <w:szCs w:val="21"/>
          <w:highlight w:val="none"/>
          <w:u w:val="single"/>
        </w:rPr>
        <w:t xml:space="preserve">                  </w:t>
      </w:r>
    </w:p>
    <w:p w14:paraId="79A1701C">
      <w:pPr>
        <w:autoSpaceDE w:val="0"/>
        <w:autoSpaceDN w:val="0"/>
        <w:adjustRightInd w:val="0"/>
        <w:snapToGrid w:val="0"/>
        <w:spacing w:before="158" w:beforeLines="50"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注册地址：</w:t>
      </w:r>
      <w:r>
        <w:rPr>
          <w:rFonts w:hint="eastAsia" w:ascii="宋体" w:hAnsi="宋体" w:eastAsia="宋体" w:cs="宋体"/>
          <w:color w:val="auto"/>
          <w:kern w:val="0"/>
          <w:sz w:val="21"/>
          <w:szCs w:val="21"/>
          <w:highlight w:val="none"/>
          <w:u w:val="single"/>
        </w:rPr>
        <w:t xml:space="preserve">                                    </w:t>
      </w:r>
    </w:p>
    <w:p w14:paraId="50E08A65">
      <w:pPr>
        <w:autoSpaceDE w:val="0"/>
        <w:autoSpaceDN w:val="0"/>
        <w:adjustRightInd w:val="0"/>
        <w:snapToGrid w:val="0"/>
        <w:spacing w:before="158" w:beforeLines="50"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成立时间：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年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 日</w:t>
      </w:r>
    </w:p>
    <w:p w14:paraId="1F35DA4B">
      <w:pPr>
        <w:autoSpaceDE w:val="0"/>
        <w:autoSpaceDN w:val="0"/>
        <w:adjustRightInd w:val="0"/>
        <w:snapToGrid w:val="0"/>
        <w:spacing w:before="158" w:beforeLines="50" w:line="360" w:lineRule="auto"/>
        <w:jc w:val="left"/>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经营期限：</w:t>
      </w:r>
      <w:r>
        <w:rPr>
          <w:rFonts w:hint="eastAsia" w:ascii="宋体" w:hAnsi="宋体" w:eastAsia="宋体" w:cs="宋体"/>
          <w:color w:val="auto"/>
          <w:kern w:val="0"/>
          <w:sz w:val="21"/>
          <w:szCs w:val="21"/>
          <w:highlight w:val="none"/>
          <w:u w:val="single"/>
        </w:rPr>
        <w:t xml:space="preserve">                  </w:t>
      </w:r>
    </w:p>
    <w:p w14:paraId="24452477">
      <w:pPr>
        <w:autoSpaceDE w:val="0"/>
        <w:autoSpaceDN w:val="0"/>
        <w:adjustRightInd w:val="0"/>
        <w:snapToGrid w:val="0"/>
        <w:spacing w:before="158" w:beforeLines="50" w:line="360" w:lineRule="auto"/>
        <w:jc w:val="left"/>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经营范围：主营：</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 ；兼营：</w:t>
      </w:r>
      <w:r>
        <w:rPr>
          <w:rFonts w:hint="eastAsia" w:ascii="宋体" w:hAnsi="宋体" w:eastAsia="宋体" w:cs="宋体"/>
          <w:color w:val="auto"/>
          <w:kern w:val="0"/>
          <w:sz w:val="21"/>
          <w:szCs w:val="21"/>
          <w:highlight w:val="none"/>
          <w:u w:val="single"/>
        </w:rPr>
        <w:t xml:space="preserve">              </w:t>
      </w:r>
    </w:p>
    <w:p w14:paraId="6DC2D4E9">
      <w:pPr>
        <w:autoSpaceDE w:val="0"/>
        <w:autoSpaceDN w:val="0"/>
        <w:adjustRightInd w:val="0"/>
        <w:snapToGrid w:val="0"/>
        <w:spacing w:before="158" w:beforeLines="50"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姓名：</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 性别：</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 年龄：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 xml:space="preserve"> 系</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kern w:val="0"/>
          <w:sz w:val="21"/>
          <w:szCs w:val="21"/>
          <w:highlight w:val="none"/>
        </w:rPr>
        <w:t>名称）的法定代表人。</w:t>
      </w:r>
    </w:p>
    <w:p w14:paraId="534C70BE">
      <w:pPr>
        <w:autoSpaceDE w:val="0"/>
        <w:autoSpaceDN w:val="0"/>
        <w:adjustRightInd w:val="0"/>
        <w:snapToGrid w:val="0"/>
        <w:spacing w:before="158" w:beforeLines="50"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特此证明。</w:t>
      </w:r>
    </w:p>
    <w:p w14:paraId="39DDE1AB">
      <w:pPr>
        <w:autoSpaceDE w:val="0"/>
        <w:autoSpaceDN w:val="0"/>
        <w:adjustRightInd w:val="0"/>
        <w:snapToGrid w:val="0"/>
        <w:spacing w:before="158" w:beforeLines="50"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附：法定代表人身份证复印件</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0"/>
        <w:gridCol w:w="4250"/>
      </w:tblGrid>
      <w:tr w14:paraId="1329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4250" w:type="dxa"/>
            <w:vAlign w:val="center"/>
          </w:tcPr>
          <w:p w14:paraId="15465074">
            <w:pPr>
              <w:snapToGrid w:val="0"/>
              <w:spacing w:line="480" w:lineRule="auto"/>
              <w:jc w:val="center"/>
              <w:rPr>
                <w:rFonts w:hint="eastAsia" w:ascii="宋体" w:hAnsi="宋体" w:eastAsia="宋体" w:cs="宋体"/>
                <w:color w:val="auto"/>
                <w:sz w:val="21"/>
                <w:szCs w:val="21"/>
                <w:highlight w:val="none"/>
                <w:vertAlign w:val="baseline"/>
                <w:lang w:val="en-US" w:eastAsia="zh-CN"/>
              </w:rPr>
            </w:pPr>
          </w:p>
          <w:p w14:paraId="08DFA1CE">
            <w:pPr>
              <w:snapToGrid w:val="0"/>
              <w:spacing w:line="48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身份证正面</w:t>
            </w:r>
          </w:p>
          <w:p w14:paraId="7A070372">
            <w:pPr>
              <w:snapToGrid w:val="0"/>
              <w:spacing w:line="480" w:lineRule="auto"/>
              <w:jc w:val="center"/>
              <w:rPr>
                <w:rFonts w:hint="eastAsia" w:ascii="宋体" w:hAnsi="宋体" w:eastAsia="宋体" w:cs="宋体"/>
                <w:color w:val="auto"/>
                <w:sz w:val="21"/>
                <w:szCs w:val="21"/>
                <w:highlight w:val="none"/>
                <w:vertAlign w:val="baseline"/>
              </w:rPr>
            </w:pPr>
          </w:p>
        </w:tc>
        <w:tc>
          <w:tcPr>
            <w:tcW w:w="4250" w:type="dxa"/>
            <w:vAlign w:val="center"/>
          </w:tcPr>
          <w:p w14:paraId="016054F1">
            <w:pPr>
              <w:snapToGrid w:val="0"/>
              <w:spacing w:line="480" w:lineRule="auto"/>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身份证反面</w:t>
            </w:r>
          </w:p>
        </w:tc>
      </w:tr>
    </w:tbl>
    <w:p w14:paraId="30E6BF51">
      <w:pPr>
        <w:adjustRightInd w:val="0"/>
        <w:snapToGrid w:val="0"/>
        <w:spacing w:line="360" w:lineRule="auto"/>
        <w:rPr>
          <w:rFonts w:hint="eastAsia" w:ascii="宋体" w:hAnsi="宋体" w:eastAsia="宋体" w:cs="宋体"/>
          <w:color w:val="auto"/>
          <w:sz w:val="21"/>
          <w:szCs w:val="21"/>
          <w:highlight w:val="none"/>
        </w:rPr>
      </w:pPr>
    </w:p>
    <w:p w14:paraId="550D9940">
      <w:pPr>
        <w:adjustRightInd w:val="0"/>
        <w:snapToGrid w:val="0"/>
        <w:spacing w:line="360" w:lineRule="auto"/>
        <w:rPr>
          <w:rFonts w:hint="eastAsia" w:ascii="宋体" w:hAnsi="宋体" w:eastAsia="宋体" w:cs="宋体"/>
          <w:color w:val="auto"/>
          <w:sz w:val="21"/>
          <w:szCs w:val="21"/>
          <w:highlight w:val="none"/>
        </w:rPr>
      </w:pPr>
    </w:p>
    <w:p w14:paraId="2A3C3CCD">
      <w:pPr>
        <w:adjustRightInd w:val="0"/>
        <w:snapToGrid w:val="0"/>
        <w:spacing w:line="360" w:lineRule="auto"/>
        <w:ind w:righ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u w:val="single"/>
        </w:rPr>
        <w:t xml:space="preserve">      全称      </w:t>
      </w:r>
      <w:r>
        <w:rPr>
          <w:rFonts w:hint="eastAsia" w:ascii="宋体" w:hAnsi="宋体" w:eastAsia="宋体" w:cs="宋体"/>
          <w:color w:val="auto"/>
          <w:sz w:val="21"/>
          <w:szCs w:val="21"/>
          <w:highlight w:val="none"/>
        </w:rPr>
        <w:t>（盖单位章）</w:t>
      </w:r>
    </w:p>
    <w:p w14:paraId="55737F05">
      <w:pPr>
        <w:adjustRightInd w:val="0"/>
        <w:snapToGrid w:val="0"/>
        <w:spacing w:line="360" w:lineRule="auto"/>
        <w:ind w:righ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日      </w:t>
      </w:r>
    </w:p>
    <w:p w14:paraId="3801D0EE">
      <w:pPr>
        <w:adjustRightInd w:val="0"/>
        <w:snapToGrid w:val="0"/>
        <w:spacing w:line="360" w:lineRule="auto"/>
        <w:ind w:right="24"/>
        <w:rPr>
          <w:rFonts w:hint="eastAsia" w:ascii="宋体" w:hAnsi="宋体" w:eastAsia="宋体" w:cs="宋体"/>
          <w:bCs/>
          <w:color w:val="auto"/>
          <w:sz w:val="21"/>
          <w:szCs w:val="21"/>
          <w:highlight w:val="none"/>
        </w:rPr>
      </w:pPr>
    </w:p>
    <w:p w14:paraId="4EC3A83F">
      <w:pPr>
        <w:adjustRightInd w:val="0"/>
        <w:snapToGrid w:val="0"/>
        <w:spacing w:line="360" w:lineRule="auto"/>
        <w:ind w:right="24"/>
        <w:rPr>
          <w:rFonts w:hint="eastAsia" w:ascii="宋体" w:hAnsi="宋体" w:eastAsia="宋体" w:cs="宋体"/>
          <w:bCs/>
          <w:color w:val="auto"/>
          <w:sz w:val="24"/>
          <w:highlight w:val="none"/>
        </w:rPr>
      </w:pPr>
    </w:p>
    <w:p w14:paraId="2456708D">
      <w:pPr>
        <w:adjustRightInd w:val="0"/>
        <w:snapToGrid w:val="0"/>
        <w:spacing w:line="360" w:lineRule="auto"/>
        <w:ind w:right="24"/>
        <w:rPr>
          <w:rFonts w:hint="eastAsia" w:ascii="宋体" w:hAnsi="宋体" w:eastAsia="宋体" w:cs="宋体"/>
          <w:b/>
          <w:color w:val="auto"/>
          <w:sz w:val="24"/>
          <w:highlight w:val="none"/>
        </w:rPr>
      </w:pPr>
      <w:r>
        <w:rPr>
          <w:rFonts w:hint="eastAsia" w:ascii="宋体" w:hAnsi="宋体" w:eastAsia="宋体" w:cs="宋体"/>
          <w:bCs/>
          <w:color w:val="auto"/>
          <w:sz w:val="24"/>
          <w:highlight w:val="none"/>
        </w:rPr>
        <w:br w:type="page"/>
      </w:r>
      <w:r>
        <w:rPr>
          <w:rFonts w:hint="eastAsia" w:ascii="宋体" w:hAnsi="宋体" w:eastAsia="宋体" w:cs="宋体"/>
          <w:b/>
          <w:color w:val="auto"/>
          <w:sz w:val="24"/>
          <w:highlight w:val="none"/>
        </w:rPr>
        <w:t>附件2：</w:t>
      </w:r>
    </w:p>
    <w:p w14:paraId="40638306">
      <w:pPr>
        <w:adjustRightInd w:val="0"/>
        <w:snapToGrid w:val="0"/>
        <w:spacing w:line="360" w:lineRule="auto"/>
        <w:ind w:right="24"/>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法定代表人授权书(委托代理人参加比选)</w:t>
      </w:r>
    </w:p>
    <w:p w14:paraId="54E17E59">
      <w:pPr>
        <w:adjustRightInd w:val="0"/>
        <w:snapToGrid w:val="0"/>
        <w:spacing w:line="360" w:lineRule="auto"/>
        <w:jc w:val="center"/>
        <w:rPr>
          <w:rFonts w:hint="eastAsia" w:ascii="宋体" w:hAnsi="宋体" w:eastAsia="宋体" w:cs="宋体"/>
          <w:b/>
          <w:color w:val="auto"/>
          <w:sz w:val="28"/>
          <w:szCs w:val="28"/>
          <w:highlight w:val="none"/>
        </w:rPr>
      </w:pPr>
    </w:p>
    <w:p w14:paraId="44F0EA11">
      <w:pPr>
        <w:autoSpaceDE w:val="0"/>
        <w:autoSpaceDN w:val="0"/>
        <w:adjustRightInd w:val="0"/>
        <w:snapToGrid w:val="0"/>
        <w:spacing w:before="158" w:beforeLines="50"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本人</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（姓名、职务）系</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 xml:space="preserve"> （</w:t>
      </w:r>
      <w:r>
        <w:rPr>
          <w:rFonts w:hint="eastAsia" w:ascii="宋体" w:hAnsi="宋体" w:eastAsia="宋体" w:cs="宋体"/>
          <w:color w:val="auto"/>
          <w:szCs w:val="21"/>
          <w:highlight w:val="none"/>
          <w:lang w:eastAsia="zh-CN"/>
        </w:rPr>
        <w:t>投标人</w:t>
      </w:r>
      <w:r>
        <w:rPr>
          <w:rFonts w:hint="eastAsia" w:ascii="宋体" w:hAnsi="宋体" w:eastAsia="宋体" w:cs="宋体"/>
          <w:color w:val="auto"/>
          <w:kern w:val="0"/>
          <w:szCs w:val="21"/>
          <w:highlight w:val="none"/>
        </w:rPr>
        <w:t>名称）的法定代表人，现授权</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（姓名、职务）为我方代理人。代理人根据授权，以我方名义：(1)签署、澄清、补正、修改、撤回、提交</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eastAsia="zh-CN"/>
        </w:rPr>
        <w:t>招募项目</w:t>
      </w:r>
      <w:r>
        <w:rPr>
          <w:rFonts w:hint="eastAsia" w:ascii="宋体" w:hAnsi="宋体" w:eastAsia="宋体" w:cs="宋体"/>
          <w:color w:val="auto"/>
          <w:kern w:val="0"/>
          <w:szCs w:val="21"/>
          <w:highlight w:val="none"/>
        </w:rPr>
        <w:t>名称）</w:t>
      </w:r>
      <w:r>
        <w:rPr>
          <w:rFonts w:hint="eastAsia" w:ascii="宋体" w:hAnsi="宋体" w:eastAsia="宋体" w:cs="宋体"/>
          <w:color w:val="auto"/>
          <w:kern w:val="0"/>
          <w:szCs w:val="21"/>
          <w:highlight w:val="none"/>
          <w:lang w:eastAsia="zh-CN"/>
        </w:rPr>
        <w:t>投标文件</w:t>
      </w:r>
      <w:r>
        <w:rPr>
          <w:rFonts w:hint="eastAsia" w:ascii="宋体" w:hAnsi="宋体" w:eastAsia="宋体" w:cs="宋体"/>
          <w:color w:val="auto"/>
          <w:kern w:val="0"/>
          <w:szCs w:val="21"/>
          <w:highlight w:val="none"/>
        </w:rPr>
        <w:t>；(2)签署并重新提交</w:t>
      </w:r>
      <w:r>
        <w:rPr>
          <w:rFonts w:hint="eastAsia" w:ascii="宋体" w:hAnsi="宋体" w:eastAsia="宋体" w:cs="宋体"/>
          <w:color w:val="auto"/>
          <w:kern w:val="0"/>
          <w:szCs w:val="21"/>
          <w:highlight w:val="none"/>
          <w:lang w:eastAsia="zh-CN"/>
        </w:rPr>
        <w:t>投标文件</w:t>
      </w:r>
      <w:r>
        <w:rPr>
          <w:rFonts w:hint="eastAsia" w:ascii="宋体" w:hAnsi="宋体" w:eastAsia="宋体" w:cs="宋体"/>
          <w:color w:val="auto"/>
          <w:kern w:val="0"/>
          <w:szCs w:val="21"/>
          <w:highlight w:val="none"/>
        </w:rPr>
        <w:t>；(3)退出比选；(4)签订合同和处理有关事宜，其法律后果由我方承担；（5）询问、质疑、投诉等相关事项，其法律后果由我方承担。</w:t>
      </w:r>
    </w:p>
    <w:p w14:paraId="5A8A338D">
      <w:pPr>
        <w:autoSpaceDE w:val="0"/>
        <w:autoSpaceDN w:val="0"/>
        <w:adjustRightInd w:val="0"/>
        <w:snapToGrid w:val="0"/>
        <w:spacing w:before="158" w:beforeLines="50"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委托期限：</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 xml:space="preserve"> 。</w:t>
      </w:r>
    </w:p>
    <w:p w14:paraId="14271D38">
      <w:pPr>
        <w:spacing w:line="360" w:lineRule="auto"/>
        <w:ind w:firstLine="435"/>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代理人无转委托权。</w:t>
      </w:r>
    </w:p>
    <w:p w14:paraId="40EFB0E0">
      <w:pPr>
        <w:spacing w:line="360" w:lineRule="auto"/>
        <w:ind w:firstLine="435"/>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本授权书于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日签字生效，特此声明。</w:t>
      </w:r>
    </w:p>
    <w:p w14:paraId="405DBEC8">
      <w:pPr>
        <w:adjustRightInd w:val="0"/>
        <w:snapToGrid w:val="0"/>
        <w:spacing w:before="158" w:beforeLines="50"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附：委托代理人身份证复印件及法定代表人身份证明(附件1，原件)</w:t>
      </w:r>
    </w:p>
    <w:tbl>
      <w:tblPr>
        <w:tblStyle w:val="1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5"/>
        <w:gridCol w:w="4536"/>
      </w:tblGrid>
      <w:tr w14:paraId="5BEE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2" w:hRule="atLeast"/>
          <w:jc w:val="center"/>
        </w:trPr>
        <w:tc>
          <w:tcPr>
            <w:tcW w:w="4250" w:type="dxa"/>
            <w:vAlign w:val="center"/>
          </w:tcPr>
          <w:p w14:paraId="5F79900D">
            <w:pPr>
              <w:snapToGrid w:val="0"/>
              <w:spacing w:line="480" w:lineRule="auto"/>
              <w:jc w:val="center"/>
              <w:rPr>
                <w:rFonts w:hint="eastAsia" w:ascii="宋体" w:hAnsi="宋体" w:eastAsia="宋体" w:cs="宋体"/>
                <w:color w:val="auto"/>
                <w:sz w:val="21"/>
                <w:szCs w:val="21"/>
                <w:highlight w:val="none"/>
                <w:vertAlign w:val="baseline"/>
                <w:lang w:val="en-US" w:eastAsia="zh-CN"/>
              </w:rPr>
            </w:pPr>
          </w:p>
          <w:p w14:paraId="4C842D92">
            <w:pPr>
              <w:snapToGrid w:val="0"/>
              <w:spacing w:line="48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身份证正面</w:t>
            </w:r>
          </w:p>
          <w:p w14:paraId="324B19B6">
            <w:pPr>
              <w:snapToGrid w:val="0"/>
              <w:spacing w:line="480" w:lineRule="auto"/>
              <w:jc w:val="center"/>
              <w:rPr>
                <w:rFonts w:hint="eastAsia" w:ascii="宋体" w:hAnsi="宋体" w:eastAsia="宋体" w:cs="宋体"/>
                <w:color w:val="auto"/>
                <w:sz w:val="21"/>
                <w:szCs w:val="21"/>
                <w:highlight w:val="none"/>
                <w:vertAlign w:val="baseline"/>
              </w:rPr>
            </w:pPr>
          </w:p>
        </w:tc>
        <w:tc>
          <w:tcPr>
            <w:tcW w:w="4250" w:type="dxa"/>
            <w:vAlign w:val="center"/>
          </w:tcPr>
          <w:p w14:paraId="21633F1D">
            <w:pPr>
              <w:snapToGrid w:val="0"/>
              <w:spacing w:line="480" w:lineRule="auto"/>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身份证反面</w:t>
            </w:r>
          </w:p>
        </w:tc>
      </w:tr>
    </w:tbl>
    <w:p w14:paraId="059F05CF">
      <w:pPr>
        <w:adjustRightInd w:val="0"/>
        <w:snapToGrid w:val="0"/>
        <w:spacing w:line="360" w:lineRule="auto"/>
        <w:ind w:right="420"/>
        <w:rPr>
          <w:rFonts w:hint="eastAsia" w:ascii="宋体" w:hAnsi="宋体" w:eastAsia="宋体" w:cs="宋体"/>
          <w:color w:val="auto"/>
          <w:szCs w:val="21"/>
          <w:highlight w:val="none"/>
        </w:rPr>
      </w:pPr>
    </w:p>
    <w:p w14:paraId="4FC42D77">
      <w:pPr>
        <w:adjustRightInd w:val="0"/>
        <w:snapToGrid w:val="0"/>
        <w:spacing w:line="360" w:lineRule="auto"/>
        <w:ind w:right="420"/>
        <w:rPr>
          <w:rFonts w:hint="eastAsia" w:ascii="宋体" w:hAnsi="宋体" w:eastAsia="宋体" w:cs="宋体"/>
          <w:color w:val="auto"/>
          <w:szCs w:val="21"/>
          <w:highlight w:val="none"/>
        </w:rPr>
      </w:pPr>
    </w:p>
    <w:p w14:paraId="7CC27088">
      <w:pPr>
        <w:adjustRightInd w:val="0"/>
        <w:snapToGrid w:val="0"/>
        <w:spacing w:line="360" w:lineRule="auto"/>
        <w:ind w:right="42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u w:val="single"/>
        </w:rPr>
        <w:t xml:space="preserve">      全称      </w:t>
      </w:r>
      <w:r>
        <w:rPr>
          <w:rFonts w:hint="eastAsia" w:ascii="宋体" w:hAnsi="宋体" w:eastAsia="宋体" w:cs="宋体"/>
          <w:color w:val="auto"/>
          <w:szCs w:val="21"/>
          <w:highlight w:val="none"/>
        </w:rPr>
        <w:t>（盖单位章）</w:t>
      </w:r>
    </w:p>
    <w:p w14:paraId="116BDAA2">
      <w:pPr>
        <w:adjustRightInd w:val="0"/>
        <w:snapToGrid w:val="0"/>
        <w:spacing w:line="480" w:lineRule="auto"/>
        <w:ind w:right="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法定代表人（签字或盖章）：</w:t>
      </w:r>
      <w:r>
        <w:rPr>
          <w:rFonts w:hint="eastAsia" w:ascii="宋体" w:hAnsi="宋体" w:eastAsia="宋体" w:cs="宋体"/>
          <w:color w:val="auto"/>
          <w:szCs w:val="21"/>
          <w:highlight w:val="none"/>
          <w:u w:val="single"/>
        </w:rPr>
        <w:t xml:space="preserve">                     </w:t>
      </w:r>
    </w:p>
    <w:p w14:paraId="28E7F181">
      <w:pPr>
        <w:adjustRightInd w:val="0"/>
        <w:snapToGrid w:val="0"/>
        <w:spacing w:line="480" w:lineRule="auto"/>
        <w:ind w:right="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委托代理人（签字或盖章）：</w:t>
      </w:r>
      <w:r>
        <w:rPr>
          <w:rFonts w:hint="eastAsia" w:ascii="宋体" w:hAnsi="宋体" w:eastAsia="宋体" w:cs="宋体"/>
          <w:color w:val="auto"/>
          <w:szCs w:val="21"/>
          <w:highlight w:val="none"/>
          <w:u w:val="single"/>
        </w:rPr>
        <w:t xml:space="preserve">                     </w:t>
      </w:r>
    </w:p>
    <w:p w14:paraId="2343A41B">
      <w:pPr>
        <w:adjustRightInd w:val="0"/>
        <w:snapToGrid w:val="0"/>
        <w:spacing w:line="480" w:lineRule="auto"/>
        <w:ind w:right="24"/>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7B798EDD">
      <w:pPr>
        <w:adjustRightInd w:val="0"/>
        <w:snapToGrid w:val="0"/>
        <w:spacing w:line="480" w:lineRule="exact"/>
        <w:ind w:right="23" w:rightChars="11"/>
        <w:rPr>
          <w:rFonts w:hint="eastAsia" w:ascii="宋体" w:hAnsi="宋体" w:eastAsia="宋体" w:cs="宋体"/>
          <w:b/>
          <w:color w:val="auto"/>
          <w:sz w:val="32"/>
          <w:szCs w:val="32"/>
          <w:highlight w:val="none"/>
        </w:rPr>
      </w:pPr>
    </w:p>
    <w:p w14:paraId="2700FEF9">
      <w:pPr>
        <w:adjustRightInd w:val="0"/>
        <w:snapToGrid w:val="0"/>
        <w:spacing w:line="480" w:lineRule="exact"/>
        <w:ind w:right="23" w:rightChars="11"/>
        <w:rPr>
          <w:rFonts w:hint="eastAsia" w:ascii="宋体" w:hAnsi="宋体" w:eastAsia="宋体" w:cs="宋体"/>
          <w:b/>
          <w:color w:val="auto"/>
          <w:sz w:val="32"/>
          <w:szCs w:val="32"/>
          <w:highlight w:val="none"/>
        </w:rPr>
      </w:pPr>
    </w:p>
    <w:p w14:paraId="5389E11E">
      <w:pPr>
        <w:adjustRightInd w:val="0"/>
        <w:snapToGrid w:val="0"/>
        <w:spacing w:line="480" w:lineRule="exact"/>
        <w:ind w:right="23" w:rightChars="11"/>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br w:type="page"/>
      </w:r>
    </w:p>
    <w:p w14:paraId="32A0B03B">
      <w:pPr>
        <w:pStyle w:val="16"/>
        <w:adjustRightInd w:val="0"/>
        <w:snapToGrid w:val="0"/>
        <w:spacing w:before="0" w:beforeAutospacing="0" w:after="0" w:afterAutospacing="0" w:line="360" w:lineRule="auto"/>
        <w:jc w:val="center"/>
        <w:outlineLvl w:val="1"/>
        <w:rPr>
          <w:rFonts w:hint="eastAsia" w:ascii="宋体" w:hAnsi="宋体" w:eastAsia="宋体" w:cs="宋体"/>
          <w:b/>
          <w:color w:val="auto"/>
          <w:spacing w:val="0"/>
          <w:sz w:val="32"/>
          <w:szCs w:val="32"/>
          <w:highlight w:val="none"/>
        </w:rPr>
      </w:pPr>
      <w:bookmarkStart w:id="47" w:name="_Toc6046"/>
      <w:r>
        <w:rPr>
          <w:rFonts w:hint="eastAsia" w:ascii="宋体" w:hAnsi="宋体" w:eastAsia="宋体" w:cs="宋体"/>
          <w:b/>
          <w:color w:val="auto"/>
          <w:spacing w:val="0"/>
          <w:kern w:val="2"/>
          <w:sz w:val="32"/>
          <w:szCs w:val="32"/>
          <w:highlight w:val="none"/>
        </w:rPr>
        <w:t>二、投标保证金缴纳证明材料</w:t>
      </w:r>
      <w:bookmarkEnd w:id="47"/>
    </w:p>
    <w:p w14:paraId="42CC15A2">
      <w:pPr>
        <w:adjustRightInd w:val="0"/>
        <w:snapToGrid w:val="0"/>
        <w:spacing w:line="360" w:lineRule="auto"/>
        <w:jc w:val="center"/>
        <w:rPr>
          <w:rFonts w:hint="eastAsia" w:ascii="宋体" w:hAnsi="宋体" w:eastAsia="宋体" w:cs="宋体"/>
          <w:b/>
          <w:bCs/>
          <w:color w:val="auto"/>
          <w:highlight w:val="none"/>
          <w:lang w:eastAsia="zh-CN"/>
        </w:rPr>
      </w:pPr>
      <w:r>
        <w:rPr>
          <w:rFonts w:hint="eastAsia" w:ascii="宋体" w:hAnsi="宋体" w:eastAsia="宋体" w:cs="宋体"/>
          <w:b/>
          <w:bCs/>
          <w:color w:val="auto"/>
          <w:spacing w:val="0"/>
          <w:kern w:val="2"/>
          <w:sz w:val="21"/>
          <w:szCs w:val="21"/>
          <w:highlight w:val="none"/>
          <w:lang w:eastAsia="zh-CN"/>
        </w:rPr>
        <w:t>本项目不要求提供投标保证金</w:t>
      </w:r>
    </w:p>
    <w:p w14:paraId="667E3A50">
      <w:pPr>
        <w:adjustRightInd w:val="0"/>
        <w:snapToGrid w:val="0"/>
        <w:spacing w:line="360" w:lineRule="auto"/>
        <w:rPr>
          <w:rFonts w:hint="eastAsia" w:ascii="宋体" w:hAnsi="宋体" w:eastAsia="宋体" w:cs="宋体"/>
          <w:bCs/>
          <w:color w:val="auto"/>
          <w:szCs w:val="21"/>
          <w:highlight w:val="none"/>
        </w:rPr>
      </w:pPr>
    </w:p>
    <w:p w14:paraId="1A3D662F">
      <w:pPr>
        <w:adjustRightInd w:val="0"/>
        <w:snapToGrid w:val="0"/>
        <w:spacing w:line="360" w:lineRule="auto"/>
        <w:jc w:val="center"/>
        <w:outlineLvl w:val="1"/>
        <w:rPr>
          <w:rFonts w:hint="eastAsia" w:ascii="宋体" w:hAnsi="宋体" w:eastAsia="宋体" w:cs="宋体"/>
          <w:b/>
          <w:color w:val="auto"/>
          <w:sz w:val="28"/>
          <w:szCs w:val="28"/>
          <w:highlight w:val="none"/>
        </w:rPr>
      </w:pPr>
      <w:r>
        <w:rPr>
          <w:rFonts w:hint="eastAsia" w:ascii="宋体" w:hAnsi="宋体" w:eastAsia="宋体" w:cs="宋体"/>
          <w:color w:val="auto"/>
          <w:sz w:val="24"/>
          <w:highlight w:val="none"/>
        </w:rPr>
        <w:br w:type="page"/>
      </w:r>
      <w:bookmarkStart w:id="48" w:name="_Toc20783"/>
      <w:r>
        <w:rPr>
          <w:rFonts w:hint="eastAsia" w:ascii="宋体" w:hAnsi="宋体" w:eastAsia="宋体" w:cs="宋体"/>
          <w:b/>
          <w:color w:val="auto"/>
          <w:sz w:val="32"/>
          <w:szCs w:val="32"/>
          <w:highlight w:val="none"/>
        </w:rPr>
        <w:t>三、</w:t>
      </w:r>
      <w:r>
        <w:rPr>
          <w:rFonts w:hint="eastAsia" w:ascii="宋体" w:hAnsi="宋体" w:eastAsia="宋体" w:cs="宋体"/>
          <w:b/>
          <w:color w:val="auto"/>
          <w:sz w:val="32"/>
          <w:szCs w:val="32"/>
          <w:highlight w:val="none"/>
          <w:lang w:eastAsia="zh-CN"/>
        </w:rPr>
        <w:t>投标人</w:t>
      </w:r>
      <w:r>
        <w:rPr>
          <w:rFonts w:hint="eastAsia" w:ascii="宋体" w:hAnsi="宋体" w:eastAsia="宋体" w:cs="宋体"/>
          <w:b/>
          <w:bCs/>
          <w:color w:val="auto"/>
          <w:sz w:val="32"/>
          <w:szCs w:val="32"/>
          <w:highlight w:val="none"/>
        </w:rPr>
        <w:t>的资格证明材料</w:t>
      </w:r>
      <w:bookmarkEnd w:id="48"/>
    </w:p>
    <w:p w14:paraId="48951304">
      <w:pPr>
        <w:keepNext w:val="0"/>
        <w:keepLines w:val="0"/>
        <w:pageBreakBefore w:val="0"/>
        <w:widowControl w:val="0"/>
        <w:kinsoku/>
        <w:wordWrap/>
        <w:overflowPunct/>
        <w:topLinePunct w:val="0"/>
        <w:autoSpaceDE/>
        <w:autoSpaceDN/>
        <w:bidi w:val="0"/>
        <w:adjustRightInd w:val="0"/>
        <w:snapToGrid w:val="0"/>
        <w:spacing w:after="317" w:afterLines="100" w:line="240" w:lineRule="auto"/>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eastAsia="zh-CN"/>
        </w:rPr>
        <w:t>附件</w:t>
      </w:r>
      <w:r>
        <w:rPr>
          <w:rFonts w:hint="eastAsia" w:ascii="宋体" w:hAnsi="宋体" w:eastAsia="宋体" w:cs="宋体"/>
          <w:b/>
          <w:color w:val="auto"/>
          <w:sz w:val="24"/>
          <w:szCs w:val="24"/>
          <w:highlight w:val="none"/>
          <w:lang w:val="en-US" w:eastAsia="zh-CN"/>
        </w:rPr>
        <w:t>3:</w:t>
      </w:r>
    </w:p>
    <w:p w14:paraId="2F24A29F">
      <w:pPr>
        <w:keepNext w:val="0"/>
        <w:keepLines w:val="0"/>
        <w:pageBreakBefore w:val="0"/>
        <w:widowControl w:val="0"/>
        <w:kinsoku/>
        <w:wordWrap/>
        <w:overflowPunct/>
        <w:topLinePunct w:val="0"/>
        <w:autoSpaceDE/>
        <w:autoSpaceDN/>
        <w:bidi w:val="0"/>
        <w:adjustRightInd w:val="0"/>
        <w:snapToGrid w:val="0"/>
        <w:spacing w:after="317" w:afterLines="100" w:line="240" w:lineRule="auto"/>
        <w:jc w:val="center"/>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eastAsia="zh-CN"/>
        </w:rPr>
        <w:t>投标人</w:t>
      </w:r>
      <w:r>
        <w:rPr>
          <w:rFonts w:hint="eastAsia" w:ascii="宋体" w:hAnsi="宋体" w:eastAsia="宋体" w:cs="宋体"/>
          <w:b/>
          <w:color w:val="auto"/>
          <w:sz w:val="28"/>
          <w:szCs w:val="28"/>
          <w:highlight w:val="none"/>
        </w:rPr>
        <w:t>基本情况表</w:t>
      </w: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04"/>
        <w:gridCol w:w="1095"/>
        <w:gridCol w:w="1493"/>
        <w:gridCol w:w="181"/>
        <w:gridCol w:w="1208"/>
        <w:gridCol w:w="1504"/>
        <w:gridCol w:w="1936"/>
        <w:gridCol w:w="18"/>
      </w:tblGrid>
      <w:tr w14:paraId="2527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78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C6E248">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名称</w:t>
            </w:r>
          </w:p>
          <w:p w14:paraId="488DC3DC">
            <w:pPr>
              <w:topLinePunct/>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（单位盖章）</w:t>
            </w:r>
          </w:p>
        </w:tc>
        <w:tc>
          <w:tcPr>
            <w:tcW w:w="43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B78F29F">
            <w:pPr>
              <w:topLinePunct/>
              <w:spacing w:line="440" w:lineRule="exact"/>
              <w:jc w:val="center"/>
              <w:rPr>
                <w:rFonts w:hint="eastAsia" w:ascii="宋体" w:hAnsi="宋体" w:eastAsia="宋体" w:cs="宋体"/>
                <w:color w:val="auto"/>
                <w:sz w:val="21"/>
                <w:szCs w:val="21"/>
                <w:highlight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4AED6443">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tc>
        <w:tc>
          <w:tcPr>
            <w:tcW w:w="215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DD3FE01">
            <w:pPr>
              <w:topLinePunct/>
              <w:spacing w:line="440" w:lineRule="exact"/>
              <w:jc w:val="center"/>
              <w:rPr>
                <w:rFonts w:hint="eastAsia" w:ascii="宋体" w:hAnsi="宋体" w:eastAsia="宋体" w:cs="宋体"/>
                <w:color w:val="auto"/>
                <w:sz w:val="21"/>
                <w:szCs w:val="21"/>
                <w:highlight w:val="none"/>
              </w:rPr>
            </w:pPr>
          </w:p>
        </w:tc>
      </w:tr>
      <w:tr w14:paraId="4B59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11" w:hRule="atLeast"/>
          <w:jc w:val="center"/>
        </w:trPr>
        <w:tc>
          <w:tcPr>
            <w:tcW w:w="178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C5E901F">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组织机构代码</w:t>
            </w:r>
          </w:p>
        </w:tc>
        <w:tc>
          <w:tcPr>
            <w:tcW w:w="43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1C89107">
            <w:pPr>
              <w:topLinePunct/>
              <w:spacing w:line="440" w:lineRule="exact"/>
              <w:jc w:val="center"/>
              <w:rPr>
                <w:rFonts w:hint="eastAsia" w:ascii="宋体" w:hAnsi="宋体" w:eastAsia="宋体" w:cs="宋体"/>
                <w:color w:val="auto"/>
                <w:sz w:val="21"/>
                <w:szCs w:val="21"/>
                <w:highlight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2226181F">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2135" w:type="dxa"/>
            <w:tcBorders>
              <w:top w:val="single" w:color="auto" w:sz="4" w:space="0"/>
              <w:left w:val="single" w:color="auto" w:sz="4" w:space="0"/>
              <w:bottom w:val="single" w:color="auto" w:sz="4" w:space="0"/>
              <w:right w:val="single" w:color="auto" w:sz="4" w:space="0"/>
            </w:tcBorders>
            <w:shd w:val="clear" w:color="auto" w:fill="auto"/>
            <w:vAlign w:val="center"/>
          </w:tcPr>
          <w:p w14:paraId="6B1DB9FD">
            <w:pPr>
              <w:topLinePunct/>
              <w:spacing w:line="440" w:lineRule="exact"/>
              <w:jc w:val="center"/>
              <w:rPr>
                <w:rFonts w:hint="eastAsia" w:ascii="宋体" w:hAnsi="宋体" w:eastAsia="宋体" w:cs="宋体"/>
                <w:color w:val="auto"/>
                <w:sz w:val="21"/>
                <w:szCs w:val="21"/>
                <w:highlight w:val="none"/>
              </w:rPr>
            </w:pPr>
          </w:p>
        </w:tc>
      </w:tr>
      <w:tr w14:paraId="454E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08" w:hRule="atLeast"/>
          <w:jc w:val="center"/>
        </w:trPr>
        <w:tc>
          <w:tcPr>
            <w:tcW w:w="178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D33346">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w:t>
            </w:r>
          </w:p>
        </w:tc>
        <w:tc>
          <w:tcPr>
            <w:tcW w:w="43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D299C0">
            <w:pPr>
              <w:topLinePunct/>
              <w:spacing w:line="440" w:lineRule="exact"/>
              <w:jc w:val="center"/>
              <w:rPr>
                <w:rFonts w:hint="eastAsia" w:ascii="宋体" w:hAnsi="宋体" w:eastAsia="宋体" w:cs="宋体"/>
                <w:color w:val="auto"/>
                <w:sz w:val="21"/>
                <w:szCs w:val="21"/>
                <w:highlight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44D01A66">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2135" w:type="dxa"/>
            <w:tcBorders>
              <w:top w:val="single" w:color="auto" w:sz="4" w:space="0"/>
              <w:left w:val="single" w:color="auto" w:sz="4" w:space="0"/>
              <w:bottom w:val="single" w:color="auto" w:sz="4" w:space="0"/>
              <w:right w:val="single" w:color="auto" w:sz="4" w:space="0"/>
            </w:tcBorders>
            <w:shd w:val="clear" w:color="auto" w:fill="auto"/>
            <w:vAlign w:val="center"/>
          </w:tcPr>
          <w:p w14:paraId="40D23CCE">
            <w:pPr>
              <w:topLinePunct/>
              <w:spacing w:line="440" w:lineRule="exact"/>
              <w:jc w:val="center"/>
              <w:rPr>
                <w:rFonts w:hint="eastAsia" w:ascii="宋体" w:hAnsi="宋体" w:eastAsia="宋体" w:cs="宋体"/>
                <w:color w:val="auto"/>
                <w:sz w:val="21"/>
                <w:szCs w:val="21"/>
                <w:highlight w:val="none"/>
              </w:rPr>
            </w:pPr>
          </w:p>
        </w:tc>
      </w:tr>
      <w:tr w14:paraId="74BF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08" w:hRule="atLeast"/>
          <w:jc w:val="center"/>
        </w:trPr>
        <w:tc>
          <w:tcPr>
            <w:tcW w:w="178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D11622">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上年营业收入</w:t>
            </w:r>
          </w:p>
        </w:tc>
        <w:tc>
          <w:tcPr>
            <w:tcW w:w="43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A6A5214">
            <w:pPr>
              <w:topLinePunct/>
              <w:spacing w:line="440" w:lineRule="exact"/>
              <w:jc w:val="center"/>
              <w:rPr>
                <w:rFonts w:hint="eastAsia" w:ascii="宋体" w:hAnsi="宋体" w:eastAsia="宋体" w:cs="宋体"/>
                <w:color w:val="auto"/>
                <w:sz w:val="21"/>
                <w:szCs w:val="21"/>
                <w:highlight w:val="none"/>
              </w:rPr>
            </w:pPr>
          </w:p>
        </w:tc>
        <w:tc>
          <w:tcPr>
            <w:tcW w:w="1653" w:type="dxa"/>
            <w:tcBorders>
              <w:top w:val="single" w:color="auto" w:sz="4" w:space="0"/>
              <w:left w:val="single" w:color="auto" w:sz="4" w:space="0"/>
              <w:bottom w:val="single" w:color="auto" w:sz="4" w:space="0"/>
              <w:right w:val="single" w:color="auto" w:sz="4" w:space="0"/>
            </w:tcBorders>
            <w:shd w:val="clear" w:color="auto" w:fill="auto"/>
            <w:vAlign w:val="center"/>
          </w:tcPr>
          <w:p w14:paraId="299EFCD7">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员工总人数</w:t>
            </w:r>
          </w:p>
        </w:tc>
        <w:tc>
          <w:tcPr>
            <w:tcW w:w="2135" w:type="dxa"/>
            <w:tcBorders>
              <w:top w:val="single" w:color="auto" w:sz="4" w:space="0"/>
              <w:left w:val="single" w:color="auto" w:sz="4" w:space="0"/>
              <w:bottom w:val="single" w:color="auto" w:sz="4" w:space="0"/>
              <w:right w:val="single" w:color="auto" w:sz="4" w:space="0"/>
            </w:tcBorders>
            <w:shd w:val="clear" w:color="auto" w:fill="auto"/>
            <w:vAlign w:val="center"/>
          </w:tcPr>
          <w:p w14:paraId="5979E111">
            <w:pPr>
              <w:topLinePunct/>
              <w:spacing w:line="440" w:lineRule="exact"/>
              <w:jc w:val="center"/>
              <w:rPr>
                <w:rFonts w:hint="eastAsia" w:ascii="宋体" w:hAnsi="宋体" w:eastAsia="宋体" w:cs="宋体"/>
                <w:color w:val="auto"/>
                <w:sz w:val="21"/>
                <w:szCs w:val="21"/>
                <w:highlight w:val="none"/>
              </w:rPr>
            </w:pPr>
          </w:p>
        </w:tc>
      </w:tr>
      <w:tr w14:paraId="626F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24" w:hRule="atLeast"/>
          <w:jc w:val="center"/>
        </w:trPr>
        <w:tc>
          <w:tcPr>
            <w:tcW w:w="7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AD11AC">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营业执照</w:t>
            </w:r>
          </w:p>
        </w:tc>
        <w:tc>
          <w:tcPr>
            <w:tcW w:w="22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A2160E4">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注册号码</w:t>
            </w:r>
          </w:p>
        </w:tc>
        <w:tc>
          <w:tcPr>
            <w:tcW w:w="1641" w:type="dxa"/>
            <w:tcBorders>
              <w:top w:val="single" w:color="auto" w:sz="4" w:space="0"/>
              <w:left w:val="single" w:color="auto" w:sz="4" w:space="0"/>
              <w:bottom w:val="single" w:color="auto" w:sz="4" w:space="0"/>
              <w:right w:val="single" w:color="auto" w:sz="4" w:space="0"/>
            </w:tcBorders>
            <w:shd w:val="clear" w:color="auto" w:fill="auto"/>
            <w:vAlign w:val="center"/>
          </w:tcPr>
          <w:p w14:paraId="610B5D2A">
            <w:pPr>
              <w:topLinePunct/>
              <w:spacing w:line="440" w:lineRule="exact"/>
              <w:jc w:val="center"/>
              <w:rPr>
                <w:rFonts w:hint="eastAsia" w:ascii="宋体" w:hAnsi="宋体" w:eastAsia="宋体" w:cs="宋体"/>
                <w:color w:val="auto"/>
                <w:sz w:val="21"/>
                <w:szCs w:val="21"/>
                <w:highlight w:val="none"/>
              </w:rPr>
            </w:pPr>
          </w:p>
        </w:tc>
        <w:tc>
          <w:tcPr>
            <w:tcW w:w="152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9FBA970">
            <w:pPr>
              <w:topLinePunct/>
              <w:spacing w:line="440" w:lineRule="exact"/>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注册地址</w:t>
            </w:r>
          </w:p>
        </w:tc>
        <w:tc>
          <w:tcPr>
            <w:tcW w:w="37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23067A">
            <w:pPr>
              <w:topLinePunct/>
              <w:spacing w:line="440" w:lineRule="exact"/>
              <w:ind w:firstLine="105" w:firstLineChars="50"/>
              <w:jc w:val="center"/>
              <w:rPr>
                <w:rFonts w:hint="eastAsia" w:ascii="宋体" w:hAnsi="宋体" w:eastAsia="宋体" w:cs="宋体"/>
                <w:color w:val="auto"/>
                <w:sz w:val="21"/>
                <w:szCs w:val="21"/>
                <w:highlight w:val="none"/>
              </w:rPr>
            </w:pPr>
          </w:p>
        </w:tc>
      </w:tr>
      <w:tr w14:paraId="5AAD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9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CDC45A">
            <w:pPr>
              <w:rPr>
                <w:rFonts w:hint="eastAsia" w:ascii="宋体" w:hAnsi="宋体" w:eastAsia="宋体" w:cs="宋体"/>
                <w:color w:val="auto"/>
                <w:sz w:val="21"/>
                <w:szCs w:val="21"/>
                <w:highlight w:val="none"/>
              </w:rPr>
            </w:pPr>
          </w:p>
        </w:tc>
        <w:tc>
          <w:tcPr>
            <w:tcW w:w="22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E89C5F">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发证机关</w:t>
            </w:r>
          </w:p>
        </w:tc>
        <w:tc>
          <w:tcPr>
            <w:tcW w:w="1641" w:type="dxa"/>
            <w:tcBorders>
              <w:top w:val="single" w:color="auto" w:sz="4" w:space="0"/>
              <w:left w:val="single" w:color="auto" w:sz="4" w:space="0"/>
              <w:bottom w:val="single" w:color="auto" w:sz="4" w:space="0"/>
              <w:right w:val="single" w:color="auto" w:sz="4" w:space="0"/>
            </w:tcBorders>
            <w:shd w:val="clear" w:color="auto" w:fill="auto"/>
            <w:vAlign w:val="center"/>
          </w:tcPr>
          <w:p w14:paraId="02A5AD50">
            <w:pPr>
              <w:topLinePunct/>
              <w:spacing w:line="440" w:lineRule="exact"/>
              <w:jc w:val="center"/>
              <w:rPr>
                <w:rFonts w:hint="eastAsia" w:ascii="宋体" w:hAnsi="宋体" w:eastAsia="宋体" w:cs="宋体"/>
                <w:color w:val="auto"/>
                <w:sz w:val="21"/>
                <w:szCs w:val="21"/>
                <w:highlight w:val="none"/>
              </w:rPr>
            </w:pPr>
          </w:p>
        </w:tc>
        <w:tc>
          <w:tcPr>
            <w:tcW w:w="152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B8CD31">
            <w:pPr>
              <w:topLinePunct/>
              <w:spacing w:line="440" w:lineRule="exact"/>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发证日期</w:t>
            </w:r>
          </w:p>
        </w:tc>
        <w:tc>
          <w:tcPr>
            <w:tcW w:w="380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A36D412">
            <w:pPr>
              <w:topLinePunct/>
              <w:spacing w:line="440" w:lineRule="exact"/>
              <w:ind w:firstLine="105" w:firstLineChars="50"/>
              <w:jc w:val="center"/>
              <w:rPr>
                <w:rFonts w:hint="eastAsia" w:ascii="宋体" w:hAnsi="宋体" w:eastAsia="宋体" w:cs="宋体"/>
                <w:color w:val="auto"/>
                <w:sz w:val="21"/>
                <w:szCs w:val="21"/>
                <w:highlight w:val="none"/>
              </w:rPr>
            </w:pPr>
          </w:p>
        </w:tc>
      </w:tr>
      <w:tr w14:paraId="6414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24" w:hRule="atLeast"/>
          <w:jc w:val="center"/>
        </w:trPr>
        <w:tc>
          <w:tcPr>
            <w:tcW w:w="79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2235CB">
            <w:pPr>
              <w:rPr>
                <w:rFonts w:hint="eastAsia" w:ascii="宋体" w:hAnsi="宋体" w:eastAsia="宋体" w:cs="宋体"/>
                <w:color w:val="auto"/>
                <w:sz w:val="21"/>
                <w:szCs w:val="21"/>
                <w:highlight w:val="none"/>
              </w:rPr>
            </w:pPr>
          </w:p>
        </w:tc>
        <w:tc>
          <w:tcPr>
            <w:tcW w:w="22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18158B">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营业范围（主营）</w:t>
            </w:r>
          </w:p>
        </w:tc>
        <w:tc>
          <w:tcPr>
            <w:tcW w:w="695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440A621A">
            <w:pPr>
              <w:topLinePunct/>
              <w:spacing w:line="440" w:lineRule="exact"/>
              <w:ind w:firstLine="105" w:firstLineChars="50"/>
              <w:jc w:val="center"/>
              <w:rPr>
                <w:rFonts w:hint="eastAsia" w:ascii="宋体" w:hAnsi="宋体" w:eastAsia="宋体" w:cs="宋体"/>
                <w:color w:val="auto"/>
                <w:sz w:val="21"/>
                <w:szCs w:val="21"/>
                <w:highlight w:val="none"/>
              </w:rPr>
            </w:pPr>
          </w:p>
        </w:tc>
      </w:tr>
      <w:tr w14:paraId="3287E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624" w:hRule="atLeast"/>
          <w:jc w:val="center"/>
        </w:trPr>
        <w:tc>
          <w:tcPr>
            <w:tcW w:w="79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6B1DEF">
            <w:pPr>
              <w:rPr>
                <w:rFonts w:hint="eastAsia" w:ascii="宋体" w:hAnsi="宋体" w:eastAsia="宋体" w:cs="宋体"/>
                <w:color w:val="auto"/>
                <w:sz w:val="21"/>
                <w:szCs w:val="21"/>
                <w:highlight w:val="none"/>
              </w:rPr>
            </w:pPr>
          </w:p>
        </w:tc>
        <w:tc>
          <w:tcPr>
            <w:tcW w:w="22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A06E576">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营业范围（兼营）</w:t>
            </w:r>
          </w:p>
        </w:tc>
        <w:tc>
          <w:tcPr>
            <w:tcW w:w="695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6F487DF9">
            <w:pPr>
              <w:topLinePunct/>
              <w:spacing w:line="440" w:lineRule="exact"/>
              <w:ind w:firstLine="105" w:firstLineChars="50"/>
              <w:jc w:val="center"/>
              <w:rPr>
                <w:rFonts w:hint="eastAsia" w:ascii="宋体" w:hAnsi="宋体" w:eastAsia="宋体" w:cs="宋体"/>
                <w:color w:val="auto"/>
                <w:sz w:val="21"/>
                <w:szCs w:val="21"/>
                <w:highlight w:val="none"/>
              </w:rPr>
            </w:pPr>
          </w:p>
        </w:tc>
      </w:tr>
      <w:tr w14:paraId="2780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58" w:hRule="atLeast"/>
          <w:jc w:val="center"/>
        </w:trPr>
        <w:tc>
          <w:tcPr>
            <w:tcW w:w="299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49BDE3D">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基本账户开户行及账号</w:t>
            </w:r>
          </w:p>
        </w:tc>
        <w:tc>
          <w:tcPr>
            <w:tcW w:w="695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18C116D9">
            <w:pPr>
              <w:topLinePunct/>
              <w:spacing w:line="440" w:lineRule="exact"/>
              <w:jc w:val="center"/>
              <w:rPr>
                <w:rFonts w:hint="eastAsia" w:ascii="宋体" w:hAnsi="宋体" w:eastAsia="宋体" w:cs="宋体"/>
                <w:color w:val="auto"/>
                <w:sz w:val="21"/>
                <w:szCs w:val="21"/>
                <w:highlight w:val="none"/>
              </w:rPr>
            </w:pPr>
          </w:p>
        </w:tc>
      </w:tr>
      <w:tr w14:paraId="1968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58" w:hRule="atLeast"/>
          <w:jc w:val="center"/>
        </w:trPr>
        <w:tc>
          <w:tcPr>
            <w:tcW w:w="299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B1AE413">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税务登记机关</w:t>
            </w:r>
          </w:p>
        </w:tc>
        <w:tc>
          <w:tcPr>
            <w:tcW w:w="695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19DE637">
            <w:pPr>
              <w:topLinePunct/>
              <w:spacing w:line="440" w:lineRule="exact"/>
              <w:jc w:val="center"/>
              <w:rPr>
                <w:rFonts w:hint="eastAsia" w:ascii="宋体" w:hAnsi="宋体" w:eastAsia="宋体" w:cs="宋体"/>
                <w:color w:val="auto"/>
                <w:sz w:val="21"/>
                <w:szCs w:val="21"/>
                <w:highlight w:val="none"/>
              </w:rPr>
            </w:pPr>
          </w:p>
        </w:tc>
      </w:tr>
      <w:tr w14:paraId="1AAEE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04" w:hRule="atLeast"/>
          <w:jc w:val="center"/>
        </w:trPr>
        <w:tc>
          <w:tcPr>
            <w:tcW w:w="299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BE3932A">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资质名称</w:t>
            </w:r>
          </w:p>
        </w:tc>
        <w:tc>
          <w:tcPr>
            <w:tcW w:w="18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0B0437">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等级</w:t>
            </w: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13ECE025">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发证机关</w:t>
            </w:r>
          </w:p>
        </w:tc>
        <w:tc>
          <w:tcPr>
            <w:tcW w:w="37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82EAA5E">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有效期</w:t>
            </w:r>
          </w:p>
        </w:tc>
      </w:tr>
      <w:tr w14:paraId="6D1F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26" w:hRule="atLeast"/>
          <w:jc w:val="center"/>
        </w:trPr>
        <w:tc>
          <w:tcPr>
            <w:tcW w:w="299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2C7A1BD">
            <w:pPr>
              <w:topLinePunct/>
              <w:spacing w:line="440" w:lineRule="exact"/>
              <w:jc w:val="center"/>
              <w:rPr>
                <w:rFonts w:hint="eastAsia" w:ascii="宋体" w:hAnsi="宋体" w:eastAsia="宋体" w:cs="宋体"/>
                <w:color w:val="auto"/>
                <w:sz w:val="21"/>
                <w:szCs w:val="21"/>
                <w:highlight w:val="none"/>
              </w:rPr>
            </w:pPr>
          </w:p>
        </w:tc>
        <w:tc>
          <w:tcPr>
            <w:tcW w:w="18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6DEC32">
            <w:pPr>
              <w:topLinePunct/>
              <w:spacing w:line="440" w:lineRule="exact"/>
              <w:jc w:val="center"/>
              <w:rPr>
                <w:rFonts w:hint="eastAsia" w:ascii="宋体" w:hAnsi="宋体" w:eastAsia="宋体" w:cs="宋体"/>
                <w:color w:val="auto"/>
                <w:sz w:val="21"/>
                <w:szCs w:val="21"/>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5F1DF6E5">
            <w:pPr>
              <w:topLinePunct/>
              <w:spacing w:line="440" w:lineRule="exact"/>
              <w:jc w:val="center"/>
              <w:rPr>
                <w:rFonts w:hint="eastAsia" w:ascii="宋体" w:hAnsi="宋体" w:eastAsia="宋体" w:cs="宋体"/>
                <w:color w:val="auto"/>
                <w:sz w:val="21"/>
                <w:szCs w:val="21"/>
                <w:highlight w:val="none"/>
              </w:rPr>
            </w:pPr>
          </w:p>
        </w:tc>
        <w:tc>
          <w:tcPr>
            <w:tcW w:w="37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5DB50A">
            <w:pPr>
              <w:topLinePunct/>
              <w:spacing w:line="440" w:lineRule="exact"/>
              <w:jc w:val="center"/>
              <w:rPr>
                <w:rFonts w:hint="eastAsia" w:ascii="宋体" w:hAnsi="宋体" w:eastAsia="宋体" w:cs="宋体"/>
                <w:color w:val="auto"/>
                <w:sz w:val="21"/>
                <w:szCs w:val="21"/>
                <w:highlight w:val="none"/>
              </w:rPr>
            </w:pPr>
          </w:p>
        </w:tc>
      </w:tr>
      <w:tr w14:paraId="6ED5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cantSplit/>
          <w:trHeight w:val="626" w:hRule="atLeast"/>
          <w:jc w:val="center"/>
        </w:trPr>
        <w:tc>
          <w:tcPr>
            <w:tcW w:w="299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7282842">
            <w:pPr>
              <w:topLinePunct/>
              <w:spacing w:line="440" w:lineRule="exact"/>
              <w:jc w:val="center"/>
              <w:rPr>
                <w:rFonts w:hint="eastAsia" w:ascii="宋体" w:hAnsi="宋体" w:eastAsia="宋体" w:cs="宋体"/>
                <w:color w:val="auto"/>
                <w:sz w:val="21"/>
                <w:szCs w:val="21"/>
                <w:highlight w:val="none"/>
              </w:rPr>
            </w:pPr>
          </w:p>
        </w:tc>
        <w:tc>
          <w:tcPr>
            <w:tcW w:w="18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C80CDA5">
            <w:pPr>
              <w:topLinePunct/>
              <w:spacing w:line="440" w:lineRule="exact"/>
              <w:jc w:val="center"/>
              <w:rPr>
                <w:rFonts w:hint="eastAsia" w:ascii="宋体" w:hAnsi="宋体" w:eastAsia="宋体" w:cs="宋体"/>
                <w:color w:val="auto"/>
                <w:sz w:val="21"/>
                <w:szCs w:val="21"/>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473F5EBB">
            <w:pPr>
              <w:topLinePunct/>
              <w:spacing w:line="440" w:lineRule="exact"/>
              <w:jc w:val="center"/>
              <w:rPr>
                <w:rFonts w:hint="eastAsia" w:ascii="宋体" w:hAnsi="宋体" w:eastAsia="宋体" w:cs="宋体"/>
                <w:color w:val="auto"/>
                <w:sz w:val="21"/>
                <w:szCs w:val="21"/>
                <w:highlight w:val="none"/>
              </w:rPr>
            </w:pPr>
          </w:p>
        </w:tc>
        <w:tc>
          <w:tcPr>
            <w:tcW w:w="37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8A0A5B">
            <w:pPr>
              <w:topLinePunct/>
              <w:spacing w:line="440" w:lineRule="exact"/>
              <w:jc w:val="center"/>
              <w:rPr>
                <w:rFonts w:hint="eastAsia" w:ascii="宋体" w:hAnsi="宋体" w:eastAsia="宋体" w:cs="宋体"/>
                <w:color w:val="auto"/>
                <w:sz w:val="21"/>
                <w:szCs w:val="21"/>
                <w:highlight w:val="none"/>
              </w:rPr>
            </w:pPr>
          </w:p>
        </w:tc>
      </w:tr>
      <w:tr w14:paraId="00F0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969" w:hRule="atLeast"/>
          <w:jc w:val="center"/>
        </w:trPr>
        <w:tc>
          <w:tcPr>
            <w:tcW w:w="299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0F1209B">
            <w:pPr>
              <w:topLinePunct/>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695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CFF1C03">
            <w:pPr>
              <w:topLinePunct/>
              <w:spacing w:line="440" w:lineRule="exact"/>
              <w:rPr>
                <w:rFonts w:hint="eastAsia" w:ascii="宋体" w:hAnsi="宋体" w:eastAsia="宋体" w:cs="宋体"/>
                <w:color w:val="auto"/>
                <w:sz w:val="21"/>
                <w:szCs w:val="21"/>
                <w:highlight w:val="none"/>
              </w:rPr>
            </w:pPr>
          </w:p>
        </w:tc>
      </w:tr>
    </w:tbl>
    <w:p w14:paraId="52C608DB">
      <w:pPr>
        <w:adjustRightInd w:val="0"/>
        <w:snapToGrid w:val="0"/>
        <w:spacing w:after="317" w:afterLines="100" w:line="360" w:lineRule="auto"/>
        <w:jc w:val="center"/>
        <w:rPr>
          <w:rFonts w:hint="eastAsia" w:ascii="宋体" w:hAnsi="宋体" w:eastAsia="宋体" w:cs="宋体"/>
          <w:b/>
          <w:color w:val="auto"/>
          <w:sz w:val="28"/>
          <w:szCs w:val="28"/>
          <w:highlight w:val="none"/>
        </w:rPr>
      </w:pPr>
      <w:r>
        <w:rPr>
          <w:rFonts w:hint="eastAsia" w:ascii="宋体" w:hAnsi="宋体" w:eastAsia="宋体" w:cs="宋体"/>
          <w:color w:val="auto"/>
          <w:sz w:val="24"/>
          <w:highlight w:val="none"/>
        </w:rPr>
        <w:br w:type="page"/>
      </w:r>
    </w:p>
    <w:p w14:paraId="6129D74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val="0"/>
          <w:color w:val="auto"/>
          <w:kern w:val="0"/>
          <w:sz w:val="24"/>
          <w:szCs w:val="24"/>
          <w:highlight w:val="none"/>
          <w:lang w:val="en-US" w:eastAsia="zh-CN"/>
        </w:rPr>
      </w:pPr>
      <w:r>
        <w:rPr>
          <w:rFonts w:hint="eastAsia" w:ascii="宋体" w:hAnsi="宋体" w:eastAsia="宋体" w:cs="宋体"/>
          <w:b/>
          <w:bCs w:val="0"/>
          <w:color w:val="auto"/>
          <w:kern w:val="0"/>
          <w:sz w:val="24"/>
          <w:szCs w:val="24"/>
          <w:highlight w:val="none"/>
          <w:lang w:eastAsia="zh-CN"/>
        </w:rPr>
        <w:t>附件</w:t>
      </w:r>
      <w:r>
        <w:rPr>
          <w:rFonts w:hint="eastAsia" w:ascii="宋体" w:hAnsi="宋体" w:eastAsia="宋体" w:cs="宋体"/>
          <w:b/>
          <w:bCs w:val="0"/>
          <w:color w:val="auto"/>
          <w:kern w:val="0"/>
          <w:sz w:val="24"/>
          <w:szCs w:val="24"/>
          <w:highlight w:val="none"/>
          <w:lang w:val="en-US" w:eastAsia="zh-CN"/>
        </w:rPr>
        <w:t>4：</w:t>
      </w:r>
    </w:p>
    <w:p w14:paraId="081410EC">
      <w:pPr>
        <w:keepNext w:val="0"/>
        <w:keepLines w:val="0"/>
        <w:pageBreakBefore w:val="0"/>
        <w:widowControl w:val="0"/>
        <w:kinsoku/>
        <w:wordWrap/>
        <w:overflowPunct/>
        <w:topLinePunct w:val="0"/>
        <w:autoSpaceDE/>
        <w:autoSpaceDN/>
        <w:bidi w:val="0"/>
        <w:adjustRightInd w:val="0"/>
        <w:snapToGrid w:val="0"/>
        <w:spacing w:after="317" w:afterLines="100"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lang w:eastAsia="zh-CN"/>
        </w:rPr>
        <w:t>投标人</w:t>
      </w:r>
      <w:r>
        <w:rPr>
          <w:rFonts w:hint="eastAsia" w:ascii="宋体" w:hAnsi="宋体" w:eastAsia="宋体" w:cs="宋体"/>
          <w:b/>
          <w:bCs w:val="0"/>
          <w:color w:val="auto"/>
          <w:sz w:val="28"/>
          <w:szCs w:val="28"/>
          <w:highlight w:val="none"/>
        </w:rPr>
        <w:t>的资格证明材料</w:t>
      </w:r>
    </w:p>
    <w:p w14:paraId="487E5786">
      <w:pPr>
        <w:pStyle w:val="6"/>
        <w:keepNext w:val="0"/>
        <w:keepLines w:val="0"/>
        <w:pageBreakBefore w:val="0"/>
        <w:numPr>
          <w:ilvl w:val="0"/>
          <w:numId w:val="0"/>
        </w:numPr>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rPr>
      </w:pPr>
      <w:bookmarkStart w:id="49" w:name="_Toc528307197"/>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投标人</w:t>
      </w:r>
      <w:r>
        <w:rPr>
          <w:rFonts w:hint="eastAsia" w:ascii="宋体" w:hAnsi="宋体" w:eastAsia="宋体" w:cs="宋体"/>
          <w:b/>
          <w:bCs/>
          <w:color w:val="auto"/>
          <w:sz w:val="21"/>
          <w:szCs w:val="21"/>
          <w:highlight w:val="none"/>
        </w:rPr>
        <w:t>基本资格条件：</w:t>
      </w:r>
      <w:r>
        <w:rPr>
          <w:rFonts w:hint="eastAsia" w:ascii="宋体" w:hAnsi="宋体" w:eastAsia="宋体" w:cs="宋体"/>
          <w:color w:val="auto"/>
          <w:kern w:val="2"/>
          <w:sz w:val="21"/>
          <w:szCs w:val="21"/>
          <w:highlight w:val="none"/>
          <w:lang w:val="en-US" w:eastAsia="zh-CN"/>
        </w:rPr>
        <w:t>在中国境内注册具有独立法人资格并取得企业营业执照，营业执照处于有效期，并提供以下资格证明文件：</w:t>
      </w:r>
    </w:p>
    <w:p w14:paraId="5CEAE6DC">
      <w:pPr>
        <w:pStyle w:val="6"/>
        <w:keepNext w:val="0"/>
        <w:keepLines w:val="0"/>
        <w:pageBreakBefore w:val="0"/>
        <w:numPr>
          <w:ilvl w:val="0"/>
          <w:numId w:val="0"/>
        </w:numPr>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（1）法人提交企业法人营业执照副本(或者法人登记证书)以及组织机构代码证副本复印件；</w:t>
      </w:r>
    </w:p>
    <w:p w14:paraId="1B922372">
      <w:pPr>
        <w:pStyle w:val="6"/>
        <w:keepNext w:val="0"/>
        <w:keepLines w:val="0"/>
        <w:pageBreakBefore w:val="0"/>
        <w:numPr>
          <w:ilvl w:val="0"/>
          <w:numId w:val="0"/>
        </w:numPr>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（2）法人提交法定代表人身份证明原件或者法定代表人授权委托书原件（附法定代表人身份证明原件），自然人提交身份证复印件；</w:t>
      </w:r>
    </w:p>
    <w:p w14:paraId="1EB6ED3E">
      <w:pPr>
        <w:pStyle w:val="6"/>
        <w:keepNext w:val="0"/>
        <w:keepLines w:val="0"/>
        <w:pageBreakBefore w:val="0"/>
        <w:numPr>
          <w:ilvl w:val="0"/>
          <w:numId w:val="0"/>
        </w:numPr>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3）本项目参照长沙市财政局文件《关于政府采购促进中小企业发展若干措施的通知》（长财采购[2022]10号）规定，投标人可凭《湖南省政府采购供应商资格承诺函》（格式见投标文件组成）参与本项目的比选活动，无需再提供财务状况报告、依法缴纳税收和社会保障资金的相关材料、参加政府采购活动前3年在经营活动中没有重大违法记录的书面声明；</w:t>
      </w:r>
    </w:p>
    <w:p w14:paraId="659BF0A3">
      <w:pPr>
        <w:pStyle w:val="6"/>
        <w:keepNext w:val="0"/>
        <w:keepLines w:val="0"/>
        <w:pageBreakBefore w:val="0"/>
        <w:numPr>
          <w:ilvl w:val="0"/>
          <w:numId w:val="0"/>
        </w:numPr>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（4）其他说明（非法人组织参与投标需提供的相关证明材料）。</w:t>
      </w:r>
    </w:p>
    <w:p w14:paraId="0E102258">
      <w:pPr>
        <w:pStyle w:val="6"/>
        <w:keepNext w:val="0"/>
        <w:keepLines w:val="0"/>
        <w:pageBreakBefore w:val="0"/>
        <w:numPr>
          <w:ilvl w:val="0"/>
          <w:numId w:val="0"/>
        </w:numPr>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b/>
          <w:bCs/>
          <w:color w:val="auto"/>
          <w:sz w:val="21"/>
          <w:szCs w:val="21"/>
          <w:highlight w:val="none"/>
          <w:lang w:val="en-US" w:eastAsia="zh-CN"/>
        </w:rPr>
        <w:t xml:space="preserve"> 说明：</w:t>
      </w:r>
      <w:r>
        <w:rPr>
          <w:rFonts w:hint="eastAsia" w:ascii="宋体" w:hAnsi="宋体" w:eastAsia="宋体" w:cs="宋体"/>
          <w:color w:val="auto"/>
          <w:kern w:val="2"/>
          <w:sz w:val="21"/>
          <w:szCs w:val="21"/>
          <w:highlight w:val="none"/>
          <w:lang w:val="en-US" w:eastAsia="zh-CN"/>
        </w:rPr>
        <w:t>①供应商具有实行了“三证合一”登记制度改革的新证，视同为持有工商营业执照、组织机构代码证和税务登记证，实行了“五证合一”登记制度改革的新证，视同为持有工商营业执照、组织机构代码证、税务登记证、社保登记证和统计登记证；符合基本资格条件的相关条款。（实行了“三证合一”或者“五证合一”的，请自行说明。）</w:t>
      </w:r>
    </w:p>
    <w:p w14:paraId="28CC5A84">
      <w:pPr>
        <w:pStyle w:val="6"/>
        <w:keepNext w:val="0"/>
        <w:keepLines w:val="0"/>
        <w:pageBreakBefore w:val="0"/>
        <w:numPr>
          <w:ilvl w:val="0"/>
          <w:numId w:val="0"/>
        </w:numPr>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②被“信用中国”网站列入严重失信名单的、被“中国政府采购网”网站列入政府采购严重违法失信行为记录名单（处罚期限尚未届满的），不得参与本项目的比选活动。</w:t>
      </w:r>
    </w:p>
    <w:p w14:paraId="0E3F52CC">
      <w:pPr>
        <w:pStyle w:val="6"/>
        <w:keepNext w:val="0"/>
        <w:keepLines w:val="0"/>
        <w:pageBreakBefore w:val="0"/>
        <w:numPr>
          <w:ilvl w:val="0"/>
          <w:numId w:val="0"/>
        </w:numPr>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③单位负责人为同一人或者存在直接控股、管理关系的不同投标人，不得参加同一合同项下的比选活动。</w:t>
      </w:r>
    </w:p>
    <w:p w14:paraId="778DA40D">
      <w:pPr>
        <w:pStyle w:val="6"/>
        <w:keepNext w:val="0"/>
        <w:keepLines w:val="0"/>
        <w:pageBreakBefore w:val="0"/>
        <w:numPr>
          <w:ilvl w:val="0"/>
          <w:numId w:val="0"/>
        </w:numPr>
        <w:kinsoku/>
        <w:wordWrap/>
        <w:overflowPunct/>
        <w:topLinePunct w:val="0"/>
        <w:bidi w:val="0"/>
        <w:adjustRightInd/>
        <w:snapToGrid/>
        <w:spacing w:line="360" w:lineRule="auto"/>
        <w:ind w:left="0" w:leftChars="0" w:firstLine="420" w:firstLineChars="200"/>
        <w:textAlignment w:val="auto"/>
        <w:rPr>
          <w:rFonts w:hint="eastAsia" w:ascii="宋体" w:hAnsi="宋体" w:eastAsia="宋体" w:cs="宋体"/>
          <w:color w:val="auto"/>
          <w:kern w:val="0"/>
          <w:sz w:val="20"/>
          <w:szCs w:val="20"/>
          <w:highlight w:val="none"/>
          <w:lang w:val="en-US" w:eastAsia="zh-CN"/>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投标人</w:t>
      </w:r>
      <w:r>
        <w:rPr>
          <w:rFonts w:hint="eastAsia" w:ascii="宋体" w:hAnsi="宋体" w:eastAsia="宋体" w:cs="宋体"/>
          <w:b/>
          <w:bCs/>
          <w:color w:val="auto"/>
          <w:sz w:val="21"/>
          <w:szCs w:val="21"/>
          <w:highlight w:val="none"/>
        </w:rPr>
        <w:t>特定资格条件：</w:t>
      </w:r>
      <w:r>
        <w:rPr>
          <w:rFonts w:hint="eastAsia" w:ascii="宋体" w:hAnsi="宋体" w:eastAsia="宋体" w:cs="宋体"/>
          <w:color w:val="auto"/>
          <w:kern w:val="2"/>
          <w:sz w:val="21"/>
          <w:szCs w:val="21"/>
          <w:highlight w:val="none"/>
          <w:lang w:val="en-US" w:eastAsia="zh-CN"/>
        </w:rPr>
        <w:t>投标人须为省发展和改革委员会（省能源局）电动汽车充电设施运营备案企业（提供省发展和改革委员会（省能源局）关于电动汽车充电设施运营企业的公示截图）；</w:t>
      </w:r>
    </w:p>
    <w:p w14:paraId="2A3404D4">
      <w:pPr>
        <w:pStyle w:val="6"/>
        <w:keepNext w:val="0"/>
        <w:keepLines w:val="0"/>
        <w:pageBreakBefore w:val="0"/>
        <w:widowControl w:val="0"/>
        <w:numPr>
          <w:ilvl w:val="0"/>
          <w:numId w:val="0"/>
        </w:numPr>
        <w:kinsoku/>
        <w:wordWrap/>
        <w:overflowPunct/>
        <w:topLinePunct w:val="0"/>
        <w:bidi w:val="0"/>
        <w:adjustRightInd/>
        <w:snapToGrid/>
        <w:spacing w:line="360" w:lineRule="auto"/>
        <w:ind w:left="0" w:leftChars="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本次比选</w:t>
      </w:r>
      <w:r>
        <w:rPr>
          <w:rFonts w:hint="eastAsia" w:ascii="宋体" w:hAnsi="宋体" w:eastAsia="宋体" w:cs="宋体"/>
          <w:b/>
          <w:bCs/>
          <w:color w:val="auto"/>
          <w:sz w:val="21"/>
          <w:szCs w:val="21"/>
          <w:highlight w:val="none"/>
          <w:u w:val="none"/>
          <w:lang w:eastAsia="zh-CN"/>
        </w:rPr>
        <w:t>不接受</w:t>
      </w:r>
      <w:r>
        <w:rPr>
          <w:rFonts w:hint="eastAsia" w:ascii="宋体" w:hAnsi="宋体" w:eastAsia="宋体" w:cs="宋体"/>
          <w:b/>
          <w:bCs/>
          <w:color w:val="auto"/>
          <w:sz w:val="21"/>
          <w:szCs w:val="21"/>
          <w:highlight w:val="none"/>
          <w:u w:val="none"/>
        </w:rPr>
        <w:t>联</w:t>
      </w:r>
      <w:r>
        <w:rPr>
          <w:rFonts w:hint="eastAsia" w:ascii="宋体" w:hAnsi="宋体" w:eastAsia="宋体" w:cs="宋体"/>
          <w:b/>
          <w:bCs/>
          <w:color w:val="auto"/>
          <w:sz w:val="21"/>
          <w:szCs w:val="21"/>
          <w:highlight w:val="none"/>
        </w:rPr>
        <w:t>合体</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不得转包。</w:t>
      </w:r>
    </w:p>
    <w:p w14:paraId="156E126C">
      <w:pPr>
        <w:pStyle w:val="6"/>
        <w:keepNext w:val="0"/>
        <w:keepLines w:val="0"/>
        <w:pageBreakBefore w:val="0"/>
        <w:widowControl w:val="0"/>
        <w:numPr>
          <w:ilvl w:val="0"/>
          <w:numId w:val="0"/>
        </w:numPr>
        <w:kinsoku/>
        <w:wordWrap/>
        <w:overflowPunct/>
        <w:topLinePunct w:val="0"/>
        <w:bidi w:val="0"/>
        <w:adjustRightInd/>
        <w:snapToGrid/>
        <w:spacing w:line="360" w:lineRule="auto"/>
        <w:ind w:left="0" w:leftChars="0" w:firstLineChars="200"/>
        <w:textAlignment w:val="auto"/>
        <w:rPr>
          <w:rFonts w:hint="eastAsia" w:ascii="宋体" w:hAnsi="宋体" w:eastAsia="宋体" w:cs="宋体"/>
          <w:b/>
          <w:bCs/>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4、资格证明文件复印件须加盖投标人公章。</w:t>
      </w:r>
    </w:p>
    <w:p w14:paraId="5EDA38BB">
      <w:pPr>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ascii="宋体" w:hAnsi="宋体" w:eastAsia="宋体" w:cs="宋体"/>
          <w:color w:val="auto"/>
          <w:kern w:val="0"/>
          <w:sz w:val="21"/>
          <w:szCs w:val="21"/>
          <w:highlight w:val="none"/>
        </w:rPr>
        <w:sectPr>
          <w:pgSz w:w="11906" w:h="16838"/>
          <w:pgMar w:top="1417" w:right="1417" w:bottom="1417" w:left="1417" w:header="850" w:footer="850" w:gutter="0"/>
          <w:pgNumType w:fmt="decimal"/>
          <w:cols w:space="0" w:num="1"/>
          <w:rtlGutter w:val="0"/>
          <w:docGrid w:type="linesAndChars" w:linePitch="318" w:charSpace="0"/>
        </w:sectPr>
      </w:pPr>
    </w:p>
    <w:p w14:paraId="66074743">
      <w:pPr>
        <w:keepNext/>
        <w:keepLines/>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bCs/>
          <w:color w:val="auto"/>
          <w:kern w:val="2"/>
          <w:sz w:val="30"/>
          <w:szCs w:val="30"/>
          <w:highlight w:val="none"/>
          <w:lang w:val="en-US" w:eastAsia="zh-CN" w:bidi="ar-SA"/>
        </w:rPr>
      </w:pPr>
      <w:r>
        <w:rPr>
          <w:rFonts w:hint="eastAsia" w:ascii="宋体" w:hAnsi="宋体" w:eastAsia="宋体" w:cs="宋体"/>
          <w:b/>
          <w:bCs/>
          <w:color w:val="auto"/>
          <w:kern w:val="2"/>
          <w:sz w:val="30"/>
          <w:szCs w:val="30"/>
          <w:highlight w:val="none"/>
          <w:lang w:val="en-US" w:eastAsia="zh-CN" w:bidi="ar-SA"/>
        </w:rPr>
        <w:t>湖南省政府采购供应商资格承诺函</w:t>
      </w:r>
    </w:p>
    <w:p w14:paraId="139A5EE4">
      <w:pPr>
        <w:pageBreakBefore w:val="0"/>
        <w:widowControl w:val="0"/>
        <w:numPr>
          <w:ilvl w:val="0"/>
          <w:numId w:val="0"/>
        </w:numPr>
        <w:kinsoku/>
        <w:wordWrap/>
        <w:overflowPunct/>
        <w:topLinePunct w:val="0"/>
        <w:bidi w:val="0"/>
        <w:adjustRightInd w:val="0"/>
        <w:snapToGrid w:val="0"/>
        <w:spacing w:line="360" w:lineRule="auto"/>
        <w:ind w:firstLine="420"/>
        <w:jc w:val="left"/>
        <w:textAlignment w:val="auto"/>
        <w:rPr>
          <w:rFonts w:hint="eastAsia" w:ascii="宋体" w:hAnsi="宋体" w:eastAsia="宋体" w:cs="宋体"/>
          <w:color w:val="auto"/>
          <w:kern w:val="2"/>
          <w:sz w:val="32"/>
          <w:szCs w:val="32"/>
          <w:highlight w:val="none"/>
          <w:lang w:val="en-US" w:eastAsia="zh-CN" w:bidi="ar-SA"/>
        </w:rPr>
      </w:pPr>
    </w:p>
    <w:p w14:paraId="7FBEB3B4">
      <w:pPr>
        <w:pageBreakBefore w:val="0"/>
        <w:widowControl w:val="0"/>
        <w:numPr>
          <w:ilvl w:val="0"/>
          <w:numId w:val="0"/>
        </w:numPr>
        <w:kinsoku/>
        <w:wordWrap/>
        <w:overflowPunct/>
        <w:topLinePunct w:val="0"/>
        <w:bidi w:val="0"/>
        <w:adjustRightInd w:val="0"/>
        <w:snapToGrid w:val="0"/>
        <w:spacing w:line="360" w:lineRule="auto"/>
        <w:jc w:val="left"/>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32"/>
          <w:szCs w:val="32"/>
          <w:highlight w:val="none"/>
          <w:lang w:val="en-US" w:eastAsia="zh-CN" w:bidi="ar-SA"/>
        </w:rPr>
        <w:t>　　</w:t>
      </w:r>
      <w:r>
        <w:rPr>
          <w:rFonts w:hint="eastAsia" w:ascii="宋体" w:hAnsi="宋体" w:eastAsia="宋体" w:cs="宋体"/>
          <w:color w:val="auto"/>
          <w:kern w:val="2"/>
          <w:sz w:val="28"/>
          <w:szCs w:val="28"/>
          <w:highlight w:val="none"/>
          <w:lang w:val="en-US" w:eastAsia="zh-CN" w:bidi="ar-SA"/>
        </w:rPr>
        <w:t>本公司（本单位）独立承担民事责任、具有良好的商业信誉和健全的财务会计制度、依法缴纳税收和社会保障资金,在前三年的经营活动中无重大违法记录,未列入严重失信行为名单,符合政府采购供应商的基本资格要求。</w:t>
      </w:r>
    </w:p>
    <w:p w14:paraId="6C984BAD">
      <w:pPr>
        <w:pageBreakBefore w:val="0"/>
        <w:widowControl w:val="0"/>
        <w:numPr>
          <w:ilvl w:val="0"/>
          <w:numId w:val="0"/>
        </w:numPr>
        <w:kinsoku/>
        <w:wordWrap/>
        <w:overflowPunct/>
        <w:topLinePunct w:val="0"/>
        <w:bidi w:val="0"/>
        <w:adjustRightInd w:val="0"/>
        <w:snapToGrid w:val="0"/>
        <w:spacing w:line="360" w:lineRule="auto"/>
        <w:ind w:firstLine="420"/>
        <w:jc w:val="left"/>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按照《政府采购促进中小企业发展管理办法》(财库〔2020〕46号),本公司企业规模为: 大型□  中型□  小型□  微型□ 。（非公司性质单位无需勾选）</w:t>
      </w:r>
    </w:p>
    <w:p w14:paraId="4F089278">
      <w:pPr>
        <w:pageBreakBefore w:val="0"/>
        <w:widowControl w:val="0"/>
        <w:numPr>
          <w:ilvl w:val="0"/>
          <w:numId w:val="0"/>
        </w:numPr>
        <w:kinsoku/>
        <w:wordWrap/>
        <w:overflowPunct/>
        <w:topLinePunct w:val="0"/>
        <w:bidi w:val="0"/>
        <w:adjustRightInd w:val="0"/>
        <w:snapToGrid w:val="0"/>
        <w:spacing w:line="360" w:lineRule="auto"/>
        <w:jc w:val="left"/>
        <w:textAlignment w:val="auto"/>
        <w:rPr>
          <w:rFonts w:hint="eastAsia" w:ascii="宋体" w:hAnsi="宋体" w:eastAsia="宋体" w:cs="宋体"/>
          <w:color w:val="auto"/>
          <w:kern w:val="2"/>
          <w:sz w:val="28"/>
          <w:szCs w:val="28"/>
          <w:highlight w:val="none"/>
          <w:lang w:val="en-US" w:eastAsia="zh-CN" w:bidi="ar-SA"/>
        </w:rPr>
      </w:pPr>
    </w:p>
    <w:p w14:paraId="5C3F2F4D">
      <w:pPr>
        <w:pageBreakBefore w:val="0"/>
        <w:widowControl w:val="0"/>
        <w:numPr>
          <w:ilvl w:val="0"/>
          <w:numId w:val="0"/>
        </w:numPr>
        <w:kinsoku/>
        <w:wordWrap/>
        <w:overflowPunct/>
        <w:topLinePunct w:val="0"/>
        <w:bidi w:val="0"/>
        <w:adjustRightInd w:val="0"/>
        <w:snapToGrid w:val="0"/>
        <w:spacing w:line="360" w:lineRule="auto"/>
        <w:jc w:val="right"/>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公司（单位）名称∶（盖章）</w:t>
      </w:r>
    </w:p>
    <w:p w14:paraId="6A586664">
      <w:pPr>
        <w:pageBreakBefore w:val="0"/>
        <w:widowControl w:val="0"/>
        <w:numPr>
          <w:ilvl w:val="0"/>
          <w:numId w:val="0"/>
        </w:numPr>
        <w:kinsoku/>
        <w:wordWrap/>
        <w:overflowPunct/>
        <w:topLinePunct w:val="0"/>
        <w:bidi w:val="0"/>
        <w:adjustRightInd w:val="0"/>
        <w:snapToGrid w:val="0"/>
        <w:spacing w:line="360" w:lineRule="auto"/>
        <w:jc w:val="right"/>
        <w:textAlignment w:val="auto"/>
        <w:rPr>
          <w:rFonts w:hint="eastAsia" w:ascii="宋体" w:hAnsi="宋体" w:eastAsia="宋体" w:cs="宋体"/>
          <w:color w:val="auto"/>
          <w:sz w:val="28"/>
          <w:szCs w:val="28"/>
          <w:highlight w:val="none"/>
          <w:lang w:val="en-US" w:eastAsia="zh-CN"/>
        </w:rPr>
        <w:sectPr>
          <w:pgSz w:w="11906" w:h="16838"/>
          <w:pgMar w:top="1417" w:right="1417" w:bottom="1417" w:left="1417" w:header="850" w:footer="850" w:gutter="0"/>
          <w:pgNumType w:fmt="decimal"/>
          <w:cols w:space="0" w:num="1"/>
          <w:rtlGutter w:val="0"/>
          <w:docGrid w:type="linesAndChars" w:linePitch="318" w:charSpace="0"/>
        </w:sectPr>
      </w:pPr>
      <w:r>
        <w:rPr>
          <w:rFonts w:hint="eastAsia" w:ascii="宋体" w:hAnsi="宋体" w:eastAsia="宋体" w:cs="宋体"/>
          <w:color w:val="auto"/>
          <w:kern w:val="2"/>
          <w:sz w:val="28"/>
          <w:szCs w:val="28"/>
          <w:highlight w:val="none"/>
          <w:lang w:val="en-US" w:eastAsia="zh-CN" w:bidi="ar-SA"/>
        </w:rPr>
        <w:t>年  月   日</w:t>
      </w:r>
    </w:p>
    <w:p w14:paraId="3DCB7A71">
      <w:pPr>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ascii="宋体" w:hAnsi="宋体" w:eastAsia="宋体" w:cs="宋体"/>
          <w:color w:val="auto"/>
          <w:sz w:val="24"/>
          <w:highlight w:val="none"/>
        </w:rPr>
      </w:pPr>
    </w:p>
    <w:p w14:paraId="569182B4">
      <w:pPr>
        <w:pStyle w:val="3"/>
        <w:widowControl/>
        <w:adjustRightInd w:val="0"/>
        <w:snapToGrid w:val="0"/>
        <w:jc w:val="center"/>
        <w:rPr>
          <w:rFonts w:hint="eastAsia" w:ascii="宋体" w:hAnsi="宋体" w:eastAsia="宋体" w:cs="宋体"/>
          <w:bCs w:val="0"/>
          <w:color w:val="auto"/>
          <w:highlight w:val="none"/>
          <w:lang w:eastAsia="zh-CN"/>
        </w:rPr>
      </w:pPr>
      <w:bookmarkStart w:id="50" w:name="_Toc20163"/>
      <w:r>
        <w:rPr>
          <w:rFonts w:hint="eastAsia" w:ascii="宋体" w:hAnsi="宋体" w:eastAsia="宋体" w:cs="宋体"/>
          <w:bCs w:val="0"/>
          <w:color w:val="auto"/>
          <w:highlight w:val="none"/>
        </w:rPr>
        <w:t>四、</w:t>
      </w:r>
      <w:bookmarkEnd w:id="49"/>
      <w:bookmarkEnd w:id="50"/>
      <w:r>
        <w:rPr>
          <w:rFonts w:hint="eastAsia" w:ascii="宋体" w:hAnsi="宋体" w:eastAsia="宋体" w:cs="宋体"/>
          <w:bCs w:val="0"/>
          <w:color w:val="auto"/>
          <w:highlight w:val="none"/>
          <w:lang w:eastAsia="zh-CN"/>
        </w:rPr>
        <w:t>服务方案说明</w:t>
      </w:r>
    </w:p>
    <w:p w14:paraId="49F0A08F">
      <w:pPr>
        <w:adjustRightInd w:val="0"/>
        <w:snapToGrid w:val="0"/>
        <w:spacing w:line="360" w:lineRule="auto"/>
        <w:ind w:left="-88" w:leftChars="-42"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投标人</w:t>
      </w:r>
      <w:r>
        <w:rPr>
          <w:rFonts w:hint="eastAsia" w:ascii="宋体" w:hAnsi="宋体" w:eastAsia="宋体" w:cs="宋体"/>
          <w:color w:val="auto"/>
          <w:szCs w:val="21"/>
          <w:highlight w:val="none"/>
        </w:rPr>
        <w:t>应根据</w:t>
      </w:r>
      <w:r>
        <w:rPr>
          <w:rFonts w:hint="eastAsia" w:ascii="宋体" w:hAnsi="宋体" w:eastAsia="宋体" w:cs="宋体"/>
          <w:color w:val="auto"/>
          <w:szCs w:val="21"/>
          <w:highlight w:val="none"/>
          <w:lang w:eastAsia="zh-CN"/>
        </w:rPr>
        <w:t>比选</w:t>
      </w:r>
      <w:r>
        <w:rPr>
          <w:rFonts w:hint="eastAsia" w:ascii="宋体" w:hAnsi="宋体" w:eastAsia="宋体" w:cs="宋体"/>
          <w:color w:val="auto"/>
          <w:szCs w:val="21"/>
          <w:highlight w:val="none"/>
        </w:rPr>
        <w:t>文件第三章 评审办法及标准和第五章规定的要求编写服务方案或服务大纲。</w:t>
      </w:r>
    </w:p>
    <w:p w14:paraId="776D1354">
      <w:pPr>
        <w:pStyle w:val="17"/>
        <w:rPr>
          <w:rFonts w:hint="eastAsia" w:ascii="宋体" w:hAnsi="宋体" w:eastAsia="宋体" w:cs="宋体"/>
          <w:color w:val="auto"/>
          <w:szCs w:val="21"/>
          <w:highlight w:val="none"/>
        </w:rPr>
      </w:pPr>
    </w:p>
    <w:p w14:paraId="3432F797">
      <w:pPr>
        <w:pStyle w:val="6"/>
        <w:rPr>
          <w:rFonts w:hint="eastAsia" w:ascii="宋体" w:hAnsi="宋体" w:eastAsia="宋体" w:cs="宋体"/>
          <w:color w:val="auto"/>
          <w:highlight w:val="none"/>
        </w:rPr>
      </w:pPr>
    </w:p>
    <w:p w14:paraId="55C33630">
      <w:pPr>
        <w:adjustRightInd w:val="0"/>
        <w:snapToGrid w:val="0"/>
        <w:spacing w:line="360" w:lineRule="auto"/>
        <w:ind w:righ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u w:val="single"/>
        </w:rPr>
        <w:t xml:space="preserve">      全称      </w:t>
      </w:r>
      <w:r>
        <w:rPr>
          <w:rFonts w:hint="eastAsia" w:ascii="宋体" w:hAnsi="宋体" w:eastAsia="宋体" w:cs="宋体"/>
          <w:color w:val="auto"/>
          <w:sz w:val="21"/>
          <w:szCs w:val="21"/>
          <w:highlight w:val="none"/>
        </w:rPr>
        <w:t>（盖单位章）</w:t>
      </w:r>
    </w:p>
    <w:p w14:paraId="374532D5">
      <w:pPr>
        <w:adjustRightInd w:val="0"/>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法定代表人或其授权的代理人（签字或盖章）：</w:t>
      </w:r>
      <w:r>
        <w:rPr>
          <w:rFonts w:hint="eastAsia" w:ascii="宋体" w:hAnsi="宋体" w:eastAsia="宋体" w:cs="宋体"/>
          <w:color w:val="auto"/>
          <w:sz w:val="21"/>
          <w:szCs w:val="21"/>
          <w:highlight w:val="none"/>
          <w:u w:val="single"/>
        </w:rPr>
        <w:t xml:space="preserve">             </w:t>
      </w:r>
    </w:p>
    <w:p w14:paraId="2A119BD9">
      <w:p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1950131F">
      <w:pPr>
        <w:adjustRightInd w:val="0"/>
        <w:snapToGrid w:val="0"/>
        <w:ind w:right="23" w:rightChars="11"/>
        <w:rPr>
          <w:rFonts w:hint="eastAsia" w:ascii="宋体" w:hAnsi="宋体" w:eastAsia="宋体" w:cs="宋体"/>
          <w:color w:val="auto"/>
          <w:sz w:val="21"/>
          <w:szCs w:val="21"/>
          <w:highlight w:val="none"/>
        </w:rPr>
      </w:pPr>
    </w:p>
    <w:p w14:paraId="033D7C1B">
      <w:pPr>
        <w:adjustRightInd w:val="0"/>
        <w:snapToGrid w:val="0"/>
        <w:ind w:right="23" w:rightChars="11"/>
        <w:jc w:val="center"/>
        <w:outlineLvl w:val="1"/>
        <w:rPr>
          <w:rFonts w:hint="eastAsia" w:ascii="宋体" w:hAnsi="宋体" w:eastAsia="宋体" w:cs="宋体"/>
          <w:b/>
          <w:color w:val="auto"/>
          <w:sz w:val="32"/>
          <w:szCs w:val="32"/>
          <w:highlight w:val="none"/>
        </w:rPr>
      </w:pPr>
      <w:r>
        <w:rPr>
          <w:rFonts w:hint="eastAsia" w:ascii="宋体" w:hAnsi="宋体" w:eastAsia="宋体" w:cs="宋体"/>
          <w:color w:val="auto"/>
          <w:sz w:val="21"/>
          <w:szCs w:val="21"/>
          <w:highlight w:val="none"/>
        </w:rPr>
        <w:br w:type="page"/>
      </w:r>
      <w:bookmarkStart w:id="51" w:name="_Toc5089"/>
      <w:r>
        <w:rPr>
          <w:rFonts w:hint="eastAsia" w:ascii="宋体" w:hAnsi="宋体" w:eastAsia="宋体" w:cs="宋体"/>
          <w:b/>
          <w:color w:val="auto"/>
          <w:sz w:val="32"/>
          <w:szCs w:val="32"/>
          <w:highlight w:val="none"/>
        </w:rPr>
        <w:t>五、技术/商务响应与偏离表</w:t>
      </w:r>
      <w:bookmarkEnd w:id="51"/>
    </w:p>
    <w:p w14:paraId="3E0E525D">
      <w:pPr>
        <w:adjustRightInd w:val="0"/>
        <w:snapToGrid w:val="0"/>
        <w:ind w:left="-88" w:leftChars="-42" w:right="23" w:rightChars="11" w:firstLine="315" w:firstLineChars="150"/>
        <w:rPr>
          <w:rFonts w:hint="eastAsia" w:ascii="宋体" w:hAnsi="宋体" w:eastAsia="宋体" w:cs="宋体"/>
          <w:color w:val="auto"/>
          <w:szCs w:val="21"/>
          <w:highlight w:val="none"/>
          <w:u w:val="single"/>
        </w:rPr>
      </w:pP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07"/>
        <w:gridCol w:w="1608"/>
        <w:gridCol w:w="1859"/>
        <w:gridCol w:w="2480"/>
        <w:gridCol w:w="1448"/>
        <w:gridCol w:w="1069"/>
      </w:tblGrid>
      <w:tr w14:paraId="3F8D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34" w:type="dxa"/>
            <w:tcBorders>
              <w:top w:val="single" w:color="auto" w:sz="4" w:space="0"/>
              <w:left w:val="single" w:color="auto" w:sz="4" w:space="0"/>
              <w:bottom w:val="single" w:color="auto" w:sz="4" w:space="0"/>
              <w:right w:val="single" w:color="auto" w:sz="4" w:space="0"/>
            </w:tcBorders>
            <w:shd w:val="clear" w:color="auto" w:fill="auto"/>
            <w:vAlign w:val="center"/>
          </w:tcPr>
          <w:p w14:paraId="1056B3C4">
            <w:pPr>
              <w:adjustRightInd w:val="0"/>
              <w:snapToGrid w:val="0"/>
              <w:ind w:left="0" w:leftChars="0" w:right="0" w:rightChars="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45B28C46">
            <w:pPr>
              <w:adjustRightInd w:val="0"/>
              <w:snapToGrid w:val="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比选文件条目号</w:t>
            </w:r>
          </w:p>
        </w:tc>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415CD6A3">
            <w:pPr>
              <w:adjustRightInd w:val="0"/>
              <w:snapToGrid w:val="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招募</w:t>
            </w:r>
            <w:r>
              <w:rPr>
                <w:rFonts w:hint="eastAsia" w:ascii="宋体" w:hAnsi="宋体" w:eastAsia="宋体" w:cs="宋体"/>
                <w:color w:val="auto"/>
                <w:szCs w:val="21"/>
                <w:highlight w:val="none"/>
              </w:rPr>
              <w:t>规格/商务条款</w:t>
            </w:r>
          </w:p>
        </w:tc>
        <w:tc>
          <w:tcPr>
            <w:tcW w:w="2600" w:type="dxa"/>
            <w:tcBorders>
              <w:top w:val="single" w:color="auto" w:sz="4" w:space="0"/>
              <w:left w:val="single" w:color="auto" w:sz="4" w:space="0"/>
              <w:bottom w:val="single" w:color="auto" w:sz="4" w:space="0"/>
              <w:right w:val="single" w:color="auto" w:sz="4" w:space="0"/>
            </w:tcBorders>
            <w:shd w:val="clear" w:color="auto" w:fill="auto"/>
            <w:vAlign w:val="center"/>
          </w:tcPr>
          <w:p w14:paraId="4C819C24">
            <w:pPr>
              <w:adjustRightInd w:val="0"/>
              <w:snapToGrid w:val="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投标文件</w:t>
            </w:r>
            <w:r>
              <w:rPr>
                <w:rFonts w:hint="eastAsia" w:ascii="宋体" w:hAnsi="宋体" w:eastAsia="宋体" w:cs="宋体"/>
                <w:color w:val="auto"/>
                <w:szCs w:val="21"/>
                <w:highlight w:val="none"/>
              </w:rPr>
              <w:t>的规格/商务条款</w:t>
            </w:r>
          </w:p>
        </w:tc>
        <w:tc>
          <w:tcPr>
            <w:tcW w:w="1517" w:type="dxa"/>
            <w:tcBorders>
              <w:top w:val="single" w:color="auto" w:sz="4" w:space="0"/>
              <w:left w:val="single" w:color="auto" w:sz="4" w:space="0"/>
              <w:bottom w:val="single" w:color="auto" w:sz="4" w:space="0"/>
              <w:right w:val="single" w:color="auto" w:sz="4" w:space="0"/>
            </w:tcBorders>
            <w:shd w:val="clear" w:color="auto" w:fill="auto"/>
            <w:vAlign w:val="center"/>
          </w:tcPr>
          <w:p w14:paraId="5F206332">
            <w:pPr>
              <w:adjustRightInd w:val="0"/>
              <w:snapToGrid w:val="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响应与偏离</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14:paraId="0D228364">
            <w:pPr>
              <w:adjustRightInd w:val="0"/>
              <w:snapToGrid w:val="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w:t>
            </w:r>
          </w:p>
        </w:tc>
      </w:tr>
      <w:tr w14:paraId="2BE2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34" w:type="dxa"/>
            <w:tcBorders>
              <w:top w:val="single" w:color="auto" w:sz="4" w:space="0"/>
              <w:left w:val="single" w:color="auto" w:sz="4" w:space="0"/>
              <w:bottom w:val="single" w:color="auto" w:sz="4" w:space="0"/>
              <w:right w:val="single" w:color="auto" w:sz="4" w:space="0"/>
            </w:tcBorders>
            <w:shd w:val="clear" w:color="auto" w:fill="auto"/>
          </w:tcPr>
          <w:p w14:paraId="7DBD8517">
            <w:pPr>
              <w:adjustRightInd w:val="0"/>
              <w:snapToGrid w:val="0"/>
              <w:ind w:left="0" w:leftChars="0" w:right="0" w:rightChars="0"/>
              <w:jc w:val="center"/>
              <w:rPr>
                <w:rFonts w:hint="eastAsia" w:ascii="宋体" w:hAnsi="宋体" w:eastAsia="宋体" w:cs="宋体"/>
                <w:color w:val="auto"/>
                <w:szCs w:val="21"/>
                <w:highlight w:val="none"/>
              </w:rPr>
            </w:pP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04E28FC0">
            <w:pPr>
              <w:adjustRightInd w:val="0"/>
              <w:snapToGrid w:val="0"/>
              <w:ind w:left="0" w:leftChars="0" w:right="0" w:rightChars="0"/>
              <w:jc w:val="center"/>
              <w:rPr>
                <w:rFonts w:hint="eastAsia" w:ascii="宋体" w:hAnsi="宋体" w:eastAsia="宋体" w:cs="宋体"/>
                <w:color w:val="auto"/>
                <w:szCs w:val="21"/>
                <w:highlight w:val="none"/>
              </w:rPr>
            </w:pPr>
          </w:p>
        </w:tc>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0E3A43B9">
            <w:pPr>
              <w:adjustRightInd w:val="0"/>
              <w:snapToGrid w:val="0"/>
              <w:ind w:left="0" w:leftChars="0" w:right="0" w:rightChars="0"/>
              <w:jc w:val="center"/>
              <w:rPr>
                <w:rFonts w:hint="eastAsia" w:ascii="宋体" w:hAnsi="宋体" w:eastAsia="宋体" w:cs="宋体"/>
                <w:color w:val="auto"/>
                <w:szCs w:val="21"/>
                <w:highlight w:val="none"/>
              </w:rPr>
            </w:pPr>
          </w:p>
        </w:tc>
        <w:tc>
          <w:tcPr>
            <w:tcW w:w="2600" w:type="dxa"/>
            <w:tcBorders>
              <w:top w:val="single" w:color="auto" w:sz="4" w:space="0"/>
              <w:left w:val="single" w:color="auto" w:sz="4" w:space="0"/>
              <w:bottom w:val="single" w:color="auto" w:sz="4" w:space="0"/>
              <w:right w:val="single" w:color="auto" w:sz="4" w:space="0"/>
            </w:tcBorders>
            <w:shd w:val="clear" w:color="auto" w:fill="auto"/>
            <w:vAlign w:val="center"/>
          </w:tcPr>
          <w:p w14:paraId="63E20F66">
            <w:pPr>
              <w:adjustRightInd w:val="0"/>
              <w:snapToGrid w:val="0"/>
              <w:ind w:left="0" w:leftChars="0" w:right="0" w:rightChars="0"/>
              <w:jc w:val="center"/>
              <w:rPr>
                <w:rFonts w:hint="eastAsia" w:ascii="宋体" w:hAnsi="宋体" w:eastAsia="宋体" w:cs="宋体"/>
                <w:color w:val="auto"/>
                <w:szCs w:val="21"/>
                <w:highlight w:val="none"/>
              </w:rPr>
            </w:pPr>
          </w:p>
        </w:tc>
        <w:tc>
          <w:tcPr>
            <w:tcW w:w="1517" w:type="dxa"/>
            <w:tcBorders>
              <w:top w:val="single" w:color="auto" w:sz="4" w:space="0"/>
              <w:left w:val="single" w:color="auto" w:sz="4" w:space="0"/>
              <w:bottom w:val="single" w:color="auto" w:sz="4" w:space="0"/>
              <w:right w:val="single" w:color="auto" w:sz="4" w:space="0"/>
            </w:tcBorders>
            <w:shd w:val="clear" w:color="auto" w:fill="auto"/>
            <w:vAlign w:val="center"/>
          </w:tcPr>
          <w:p w14:paraId="04FF2FE2">
            <w:pPr>
              <w:adjustRightInd w:val="0"/>
              <w:snapToGrid w:val="0"/>
              <w:ind w:left="0" w:leftChars="0" w:right="0" w:rightChars="0"/>
              <w:jc w:val="center"/>
              <w:rPr>
                <w:rFonts w:hint="eastAsia" w:ascii="宋体" w:hAnsi="宋体" w:eastAsia="宋体" w:cs="宋体"/>
                <w:color w:val="auto"/>
                <w:szCs w:val="21"/>
                <w:highlight w:val="none"/>
              </w:rPr>
            </w:pP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14:paraId="0068B5C8">
            <w:pPr>
              <w:adjustRightInd w:val="0"/>
              <w:snapToGrid w:val="0"/>
              <w:ind w:left="0" w:leftChars="0" w:right="0" w:rightChars="0"/>
              <w:jc w:val="center"/>
              <w:rPr>
                <w:rFonts w:hint="eastAsia" w:ascii="宋体" w:hAnsi="宋体" w:eastAsia="宋体" w:cs="宋体"/>
                <w:color w:val="auto"/>
                <w:szCs w:val="21"/>
                <w:highlight w:val="none"/>
              </w:rPr>
            </w:pPr>
          </w:p>
        </w:tc>
      </w:tr>
      <w:tr w14:paraId="41E9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34" w:type="dxa"/>
            <w:tcBorders>
              <w:top w:val="single" w:color="auto" w:sz="4" w:space="0"/>
              <w:left w:val="single" w:color="auto" w:sz="4" w:space="0"/>
              <w:bottom w:val="single" w:color="auto" w:sz="4" w:space="0"/>
              <w:right w:val="single" w:color="auto" w:sz="4" w:space="0"/>
            </w:tcBorders>
            <w:shd w:val="clear" w:color="auto" w:fill="auto"/>
          </w:tcPr>
          <w:p w14:paraId="44B8BBFA">
            <w:pPr>
              <w:adjustRightInd w:val="0"/>
              <w:snapToGrid w:val="0"/>
              <w:ind w:left="0" w:leftChars="0" w:right="0" w:rightChars="0"/>
              <w:jc w:val="center"/>
              <w:rPr>
                <w:rFonts w:hint="eastAsia" w:ascii="宋体" w:hAnsi="宋体" w:eastAsia="宋体" w:cs="宋体"/>
                <w:color w:val="auto"/>
                <w:szCs w:val="21"/>
                <w:highlight w:val="none"/>
              </w:rPr>
            </w:pP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00C49F4B">
            <w:pPr>
              <w:adjustRightInd w:val="0"/>
              <w:snapToGrid w:val="0"/>
              <w:ind w:left="0" w:leftChars="0" w:right="0" w:rightChars="0"/>
              <w:jc w:val="center"/>
              <w:rPr>
                <w:rFonts w:hint="eastAsia" w:ascii="宋体" w:hAnsi="宋体" w:eastAsia="宋体" w:cs="宋体"/>
                <w:color w:val="auto"/>
                <w:szCs w:val="21"/>
                <w:highlight w:val="none"/>
              </w:rPr>
            </w:pPr>
          </w:p>
        </w:tc>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4CEB9E59">
            <w:pPr>
              <w:adjustRightInd w:val="0"/>
              <w:snapToGrid w:val="0"/>
              <w:ind w:left="0" w:leftChars="0" w:right="0" w:rightChars="0"/>
              <w:jc w:val="center"/>
              <w:rPr>
                <w:rFonts w:hint="eastAsia" w:ascii="宋体" w:hAnsi="宋体" w:eastAsia="宋体" w:cs="宋体"/>
                <w:color w:val="auto"/>
                <w:szCs w:val="21"/>
                <w:highlight w:val="none"/>
              </w:rPr>
            </w:pPr>
          </w:p>
        </w:tc>
        <w:tc>
          <w:tcPr>
            <w:tcW w:w="2600" w:type="dxa"/>
            <w:tcBorders>
              <w:top w:val="single" w:color="auto" w:sz="4" w:space="0"/>
              <w:left w:val="single" w:color="auto" w:sz="4" w:space="0"/>
              <w:bottom w:val="single" w:color="auto" w:sz="4" w:space="0"/>
              <w:right w:val="single" w:color="auto" w:sz="4" w:space="0"/>
            </w:tcBorders>
            <w:shd w:val="clear" w:color="auto" w:fill="auto"/>
            <w:vAlign w:val="center"/>
          </w:tcPr>
          <w:p w14:paraId="537269E9">
            <w:pPr>
              <w:adjustRightInd w:val="0"/>
              <w:snapToGrid w:val="0"/>
              <w:ind w:left="0" w:leftChars="0" w:right="0" w:rightChars="0"/>
              <w:jc w:val="center"/>
              <w:rPr>
                <w:rFonts w:hint="eastAsia" w:ascii="宋体" w:hAnsi="宋体" w:eastAsia="宋体" w:cs="宋体"/>
                <w:color w:val="auto"/>
                <w:szCs w:val="21"/>
                <w:highlight w:val="none"/>
              </w:rPr>
            </w:pPr>
          </w:p>
        </w:tc>
        <w:tc>
          <w:tcPr>
            <w:tcW w:w="1517" w:type="dxa"/>
            <w:tcBorders>
              <w:top w:val="single" w:color="auto" w:sz="4" w:space="0"/>
              <w:left w:val="single" w:color="auto" w:sz="4" w:space="0"/>
              <w:bottom w:val="single" w:color="auto" w:sz="4" w:space="0"/>
              <w:right w:val="single" w:color="auto" w:sz="4" w:space="0"/>
            </w:tcBorders>
            <w:shd w:val="clear" w:color="auto" w:fill="auto"/>
            <w:vAlign w:val="center"/>
          </w:tcPr>
          <w:p w14:paraId="07A9D332">
            <w:pPr>
              <w:adjustRightInd w:val="0"/>
              <w:snapToGrid w:val="0"/>
              <w:ind w:left="0" w:leftChars="0" w:right="0" w:rightChars="0"/>
              <w:jc w:val="center"/>
              <w:rPr>
                <w:rFonts w:hint="eastAsia" w:ascii="宋体" w:hAnsi="宋体" w:eastAsia="宋体" w:cs="宋体"/>
                <w:color w:val="auto"/>
                <w:szCs w:val="21"/>
                <w:highlight w:val="none"/>
              </w:rPr>
            </w:pP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14:paraId="028A0CF3">
            <w:pPr>
              <w:adjustRightInd w:val="0"/>
              <w:snapToGrid w:val="0"/>
              <w:ind w:left="0" w:leftChars="0" w:right="0" w:rightChars="0"/>
              <w:jc w:val="center"/>
              <w:rPr>
                <w:rFonts w:hint="eastAsia" w:ascii="宋体" w:hAnsi="宋体" w:eastAsia="宋体" w:cs="宋体"/>
                <w:color w:val="auto"/>
                <w:szCs w:val="21"/>
                <w:highlight w:val="none"/>
              </w:rPr>
            </w:pPr>
          </w:p>
        </w:tc>
      </w:tr>
      <w:tr w14:paraId="1B4F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34" w:type="dxa"/>
            <w:tcBorders>
              <w:top w:val="single" w:color="auto" w:sz="4" w:space="0"/>
              <w:left w:val="single" w:color="auto" w:sz="4" w:space="0"/>
              <w:bottom w:val="single" w:color="auto" w:sz="4" w:space="0"/>
              <w:right w:val="single" w:color="auto" w:sz="4" w:space="0"/>
            </w:tcBorders>
            <w:shd w:val="clear" w:color="auto" w:fill="auto"/>
          </w:tcPr>
          <w:p w14:paraId="27C14C6A">
            <w:pPr>
              <w:adjustRightInd w:val="0"/>
              <w:snapToGrid w:val="0"/>
              <w:ind w:left="0" w:leftChars="0" w:right="0" w:rightChars="0"/>
              <w:jc w:val="center"/>
              <w:rPr>
                <w:rFonts w:hint="eastAsia" w:ascii="宋体" w:hAnsi="宋体" w:eastAsia="宋体" w:cs="宋体"/>
                <w:color w:val="auto"/>
                <w:szCs w:val="21"/>
                <w:highlight w:val="none"/>
              </w:rPr>
            </w:pP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7D73974C">
            <w:pPr>
              <w:adjustRightInd w:val="0"/>
              <w:snapToGrid w:val="0"/>
              <w:ind w:left="0" w:leftChars="0" w:right="0" w:rightChars="0"/>
              <w:jc w:val="center"/>
              <w:rPr>
                <w:rFonts w:hint="eastAsia" w:ascii="宋体" w:hAnsi="宋体" w:eastAsia="宋体" w:cs="宋体"/>
                <w:color w:val="auto"/>
                <w:szCs w:val="21"/>
                <w:highlight w:val="none"/>
              </w:rPr>
            </w:pPr>
          </w:p>
        </w:tc>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15525977">
            <w:pPr>
              <w:adjustRightInd w:val="0"/>
              <w:snapToGrid w:val="0"/>
              <w:ind w:left="0" w:leftChars="0" w:right="0" w:rightChars="0"/>
              <w:jc w:val="center"/>
              <w:rPr>
                <w:rFonts w:hint="eastAsia" w:ascii="宋体" w:hAnsi="宋体" w:eastAsia="宋体" w:cs="宋体"/>
                <w:color w:val="auto"/>
                <w:szCs w:val="21"/>
                <w:highlight w:val="none"/>
              </w:rPr>
            </w:pPr>
          </w:p>
        </w:tc>
        <w:tc>
          <w:tcPr>
            <w:tcW w:w="2600" w:type="dxa"/>
            <w:tcBorders>
              <w:top w:val="single" w:color="auto" w:sz="4" w:space="0"/>
              <w:left w:val="single" w:color="auto" w:sz="4" w:space="0"/>
              <w:bottom w:val="single" w:color="auto" w:sz="4" w:space="0"/>
              <w:right w:val="single" w:color="auto" w:sz="4" w:space="0"/>
            </w:tcBorders>
            <w:shd w:val="clear" w:color="auto" w:fill="auto"/>
            <w:vAlign w:val="center"/>
          </w:tcPr>
          <w:p w14:paraId="0BA10932">
            <w:pPr>
              <w:adjustRightInd w:val="0"/>
              <w:snapToGrid w:val="0"/>
              <w:ind w:left="0" w:leftChars="0" w:right="0" w:rightChars="0"/>
              <w:jc w:val="center"/>
              <w:rPr>
                <w:rFonts w:hint="eastAsia" w:ascii="宋体" w:hAnsi="宋体" w:eastAsia="宋体" w:cs="宋体"/>
                <w:color w:val="auto"/>
                <w:szCs w:val="21"/>
                <w:highlight w:val="none"/>
              </w:rPr>
            </w:pPr>
          </w:p>
        </w:tc>
        <w:tc>
          <w:tcPr>
            <w:tcW w:w="1517" w:type="dxa"/>
            <w:tcBorders>
              <w:top w:val="single" w:color="auto" w:sz="4" w:space="0"/>
              <w:left w:val="single" w:color="auto" w:sz="4" w:space="0"/>
              <w:bottom w:val="single" w:color="auto" w:sz="4" w:space="0"/>
              <w:right w:val="single" w:color="auto" w:sz="4" w:space="0"/>
            </w:tcBorders>
            <w:shd w:val="clear" w:color="auto" w:fill="auto"/>
            <w:vAlign w:val="center"/>
          </w:tcPr>
          <w:p w14:paraId="65BDE94B">
            <w:pPr>
              <w:adjustRightInd w:val="0"/>
              <w:snapToGrid w:val="0"/>
              <w:ind w:left="0" w:leftChars="0" w:right="0" w:rightChars="0"/>
              <w:jc w:val="center"/>
              <w:rPr>
                <w:rFonts w:hint="eastAsia" w:ascii="宋体" w:hAnsi="宋体" w:eastAsia="宋体" w:cs="宋体"/>
                <w:color w:val="auto"/>
                <w:szCs w:val="21"/>
                <w:highlight w:val="none"/>
              </w:rPr>
            </w:pP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14:paraId="18CE344A">
            <w:pPr>
              <w:adjustRightInd w:val="0"/>
              <w:snapToGrid w:val="0"/>
              <w:ind w:left="0" w:leftChars="0" w:right="0" w:rightChars="0"/>
              <w:jc w:val="center"/>
              <w:rPr>
                <w:rFonts w:hint="eastAsia" w:ascii="宋体" w:hAnsi="宋体" w:eastAsia="宋体" w:cs="宋体"/>
                <w:color w:val="auto"/>
                <w:szCs w:val="21"/>
                <w:highlight w:val="none"/>
              </w:rPr>
            </w:pPr>
          </w:p>
        </w:tc>
      </w:tr>
      <w:tr w14:paraId="413A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34" w:type="dxa"/>
            <w:tcBorders>
              <w:top w:val="single" w:color="auto" w:sz="4" w:space="0"/>
              <w:left w:val="single" w:color="auto" w:sz="4" w:space="0"/>
              <w:bottom w:val="single" w:color="auto" w:sz="4" w:space="0"/>
              <w:right w:val="single" w:color="auto" w:sz="4" w:space="0"/>
            </w:tcBorders>
            <w:shd w:val="clear" w:color="auto" w:fill="auto"/>
          </w:tcPr>
          <w:p w14:paraId="1E65CCD7">
            <w:pPr>
              <w:adjustRightInd w:val="0"/>
              <w:snapToGrid w:val="0"/>
              <w:ind w:left="0" w:leftChars="0" w:right="0" w:rightChars="0"/>
              <w:jc w:val="center"/>
              <w:rPr>
                <w:rFonts w:hint="eastAsia" w:ascii="宋体" w:hAnsi="宋体" w:eastAsia="宋体" w:cs="宋体"/>
                <w:color w:val="auto"/>
                <w:szCs w:val="21"/>
                <w:highlight w:val="none"/>
              </w:rPr>
            </w:pP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764CBC14">
            <w:pPr>
              <w:adjustRightInd w:val="0"/>
              <w:snapToGrid w:val="0"/>
              <w:ind w:left="0" w:leftChars="0" w:right="0" w:rightChars="0"/>
              <w:jc w:val="center"/>
              <w:rPr>
                <w:rFonts w:hint="eastAsia" w:ascii="宋体" w:hAnsi="宋体" w:eastAsia="宋体" w:cs="宋体"/>
                <w:color w:val="auto"/>
                <w:szCs w:val="21"/>
                <w:highlight w:val="none"/>
              </w:rPr>
            </w:pPr>
          </w:p>
        </w:tc>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092C9529">
            <w:pPr>
              <w:adjustRightInd w:val="0"/>
              <w:snapToGrid w:val="0"/>
              <w:ind w:left="0" w:leftChars="0" w:right="0" w:rightChars="0"/>
              <w:jc w:val="center"/>
              <w:rPr>
                <w:rFonts w:hint="eastAsia" w:ascii="宋体" w:hAnsi="宋体" w:eastAsia="宋体" w:cs="宋体"/>
                <w:color w:val="auto"/>
                <w:szCs w:val="21"/>
                <w:highlight w:val="none"/>
              </w:rPr>
            </w:pPr>
          </w:p>
        </w:tc>
        <w:tc>
          <w:tcPr>
            <w:tcW w:w="2600" w:type="dxa"/>
            <w:tcBorders>
              <w:top w:val="single" w:color="auto" w:sz="4" w:space="0"/>
              <w:left w:val="single" w:color="auto" w:sz="4" w:space="0"/>
              <w:bottom w:val="single" w:color="auto" w:sz="4" w:space="0"/>
              <w:right w:val="single" w:color="auto" w:sz="4" w:space="0"/>
            </w:tcBorders>
            <w:shd w:val="clear" w:color="auto" w:fill="auto"/>
            <w:vAlign w:val="center"/>
          </w:tcPr>
          <w:p w14:paraId="6337BBEA">
            <w:pPr>
              <w:adjustRightInd w:val="0"/>
              <w:snapToGrid w:val="0"/>
              <w:ind w:left="0" w:leftChars="0" w:right="0" w:rightChars="0"/>
              <w:jc w:val="center"/>
              <w:rPr>
                <w:rFonts w:hint="eastAsia" w:ascii="宋体" w:hAnsi="宋体" w:eastAsia="宋体" w:cs="宋体"/>
                <w:color w:val="auto"/>
                <w:szCs w:val="21"/>
                <w:highlight w:val="none"/>
              </w:rPr>
            </w:pPr>
          </w:p>
        </w:tc>
        <w:tc>
          <w:tcPr>
            <w:tcW w:w="1517" w:type="dxa"/>
            <w:tcBorders>
              <w:top w:val="single" w:color="auto" w:sz="4" w:space="0"/>
              <w:left w:val="single" w:color="auto" w:sz="4" w:space="0"/>
              <w:bottom w:val="single" w:color="auto" w:sz="4" w:space="0"/>
              <w:right w:val="single" w:color="auto" w:sz="4" w:space="0"/>
            </w:tcBorders>
            <w:shd w:val="clear" w:color="auto" w:fill="auto"/>
            <w:vAlign w:val="center"/>
          </w:tcPr>
          <w:p w14:paraId="255252F9">
            <w:pPr>
              <w:adjustRightInd w:val="0"/>
              <w:snapToGrid w:val="0"/>
              <w:ind w:left="0" w:leftChars="0" w:right="0" w:rightChars="0"/>
              <w:jc w:val="center"/>
              <w:rPr>
                <w:rFonts w:hint="eastAsia" w:ascii="宋体" w:hAnsi="宋体" w:eastAsia="宋体" w:cs="宋体"/>
                <w:color w:val="auto"/>
                <w:szCs w:val="21"/>
                <w:highlight w:val="none"/>
              </w:rPr>
            </w:pP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14:paraId="08812299">
            <w:pPr>
              <w:adjustRightInd w:val="0"/>
              <w:snapToGrid w:val="0"/>
              <w:ind w:left="0" w:leftChars="0" w:right="0" w:rightChars="0"/>
              <w:jc w:val="center"/>
              <w:rPr>
                <w:rFonts w:hint="eastAsia" w:ascii="宋体" w:hAnsi="宋体" w:eastAsia="宋体" w:cs="宋体"/>
                <w:color w:val="auto"/>
                <w:szCs w:val="21"/>
                <w:highlight w:val="none"/>
              </w:rPr>
            </w:pPr>
          </w:p>
        </w:tc>
      </w:tr>
      <w:tr w14:paraId="5542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34" w:type="dxa"/>
            <w:tcBorders>
              <w:top w:val="single" w:color="auto" w:sz="4" w:space="0"/>
              <w:left w:val="single" w:color="auto" w:sz="4" w:space="0"/>
              <w:bottom w:val="single" w:color="auto" w:sz="4" w:space="0"/>
              <w:right w:val="single" w:color="auto" w:sz="4" w:space="0"/>
            </w:tcBorders>
            <w:shd w:val="clear" w:color="auto" w:fill="auto"/>
          </w:tcPr>
          <w:p w14:paraId="5A9833F0">
            <w:pPr>
              <w:adjustRightInd w:val="0"/>
              <w:snapToGrid w:val="0"/>
              <w:ind w:left="0" w:leftChars="0" w:right="0" w:rightChars="0"/>
              <w:jc w:val="center"/>
              <w:rPr>
                <w:rFonts w:hint="eastAsia" w:ascii="宋体" w:hAnsi="宋体" w:eastAsia="宋体" w:cs="宋体"/>
                <w:color w:val="auto"/>
                <w:szCs w:val="21"/>
                <w:highlight w:val="none"/>
              </w:rPr>
            </w:pPr>
          </w:p>
        </w:tc>
        <w:tc>
          <w:tcPr>
            <w:tcW w:w="1685" w:type="dxa"/>
            <w:tcBorders>
              <w:top w:val="single" w:color="auto" w:sz="4" w:space="0"/>
              <w:left w:val="single" w:color="auto" w:sz="4" w:space="0"/>
              <w:bottom w:val="single" w:color="auto" w:sz="4" w:space="0"/>
              <w:right w:val="single" w:color="auto" w:sz="4" w:space="0"/>
            </w:tcBorders>
            <w:shd w:val="clear" w:color="auto" w:fill="auto"/>
            <w:vAlign w:val="center"/>
          </w:tcPr>
          <w:p w14:paraId="3F20C73B">
            <w:pPr>
              <w:adjustRightInd w:val="0"/>
              <w:snapToGrid w:val="0"/>
              <w:ind w:left="0" w:leftChars="0" w:right="0" w:rightChars="0"/>
              <w:jc w:val="center"/>
              <w:rPr>
                <w:rFonts w:hint="eastAsia" w:ascii="宋体" w:hAnsi="宋体" w:eastAsia="宋体" w:cs="宋体"/>
                <w:color w:val="auto"/>
                <w:szCs w:val="21"/>
                <w:highlight w:val="none"/>
              </w:rPr>
            </w:pPr>
          </w:p>
        </w:tc>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6D0540DB">
            <w:pPr>
              <w:adjustRightInd w:val="0"/>
              <w:snapToGrid w:val="0"/>
              <w:ind w:left="0" w:leftChars="0" w:right="0" w:rightChars="0"/>
              <w:jc w:val="center"/>
              <w:rPr>
                <w:rFonts w:hint="eastAsia" w:ascii="宋体" w:hAnsi="宋体" w:eastAsia="宋体" w:cs="宋体"/>
                <w:color w:val="auto"/>
                <w:szCs w:val="21"/>
                <w:highlight w:val="none"/>
              </w:rPr>
            </w:pPr>
          </w:p>
        </w:tc>
        <w:tc>
          <w:tcPr>
            <w:tcW w:w="2600" w:type="dxa"/>
            <w:tcBorders>
              <w:top w:val="single" w:color="auto" w:sz="4" w:space="0"/>
              <w:left w:val="single" w:color="auto" w:sz="4" w:space="0"/>
              <w:bottom w:val="single" w:color="auto" w:sz="4" w:space="0"/>
              <w:right w:val="single" w:color="auto" w:sz="4" w:space="0"/>
            </w:tcBorders>
            <w:shd w:val="clear" w:color="auto" w:fill="auto"/>
            <w:vAlign w:val="center"/>
          </w:tcPr>
          <w:p w14:paraId="4A25DD5D">
            <w:pPr>
              <w:adjustRightInd w:val="0"/>
              <w:snapToGrid w:val="0"/>
              <w:ind w:left="0" w:leftChars="0" w:right="0" w:rightChars="0"/>
              <w:jc w:val="center"/>
              <w:rPr>
                <w:rFonts w:hint="eastAsia" w:ascii="宋体" w:hAnsi="宋体" w:eastAsia="宋体" w:cs="宋体"/>
                <w:color w:val="auto"/>
                <w:szCs w:val="21"/>
                <w:highlight w:val="none"/>
              </w:rPr>
            </w:pPr>
          </w:p>
        </w:tc>
        <w:tc>
          <w:tcPr>
            <w:tcW w:w="1517" w:type="dxa"/>
            <w:tcBorders>
              <w:top w:val="single" w:color="auto" w:sz="4" w:space="0"/>
              <w:left w:val="single" w:color="auto" w:sz="4" w:space="0"/>
              <w:bottom w:val="single" w:color="auto" w:sz="4" w:space="0"/>
              <w:right w:val="single" w:color="auto" w:sz="4" w:space="0"/>
            </w:tcBorders>
            <w:shd w:val="clear" w:color="auto" w:fill="auto"/>
            <w:vAlign w:val="center"/>
          </w:tcPr>
          <w:p w14:paraId="59481E27">
            <w:pPr>
              <w:adjustRightInd w:val="0"/>
              <w:snapToGrid w:val="0"/>
              <w:ind w:left="0" w:leftChars="0" w:right="0" w:rightChars="0"/>
              <w:jc w:val="center"/>
              <w:rPr>
                <w:rFonts w:hint="eastAsia" w:ascii="宋体" w:hAnsi="宋体" w:eastAsia="宋体" w:cs="宋体"/>
                <w:color w:val="auto"/>
                <w:szCs w:val="21"/>
                <w:highlight w:val="none"/>
              </w:rPr>
            </w:pP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14:paraId="568AF638">
            <w:pPr>
              <w:adjustRightInd w:val="0"/>
              <w:snapToGrid w:val="0"/>
              <w:ind w:left="0" w:leftChars="0" w:right="0" w:rightChars="0"/>
              <w:jc w:val="center"/>
              <w:rPr>
                <w:rFonts w:hint="eastAsia" w:ascii="宋体" w:hAnsi="宋体" w:eastAsia="宋体" w:cs="宋体"/>
                <w:color w:val="auto"/>
                <w:szCs w:val="21"/>
                <w:highlight w:val="none"/>
              </w:rPr>
            </w:pPr>
          </w:p>
        </w:tc>
      </w:tr>
    </w:tbl>
    <w:p w14:paraId="1256A449">
      <w:pPr>
        <w:adjustRightInd w:val="0"/>
        <w:snapToGrid w:val="0"/>
        <w:spacing w:line="360" w:lineRule="auto"/>
        <w:ind w:left="-88" w:leftChars="-42" w:right="23" w:rightChars="11"/>
        <w:rPr>
          <w:rFonts w:hint="eastAsia" w:ascii="宋体" w:hAnsi="宋体" w:eastAsia="宋体" w:cs="宋体"/>
          <w:color w:val="auto"/>
          <w:sz w:val="24"/>
          <w:highlight w:val="none"/>
        </w:rPr>
      </w:pPr>
      <w:r>
        <w:rPr>
          <w:rFonts w:hint="eastAsia" w:ascii="宋体" w:hAnsi="宋体" w:eastAsia="宋体" w:cs="宋体"/>
          <w:color w:val="auto"/>
          <w:sz w:val="24"/>
          <w:highlight w:val="none"/>
        </w:rPr>
        <w:t>说明：1、“响应与偏离”应注明“响应”或“偏离”。</w:t>
      </w:r>
    </w:p>
    <w:p w14:paraId="7C07EB4B">
      <w:pPr>
        <w:adjustRightInd w:val="0"/>
        <w:snapToGrid w:val="0"/>
        <w:spacing w:line="360" w:lineRule="auto"/>
        <w:ind w:right="23" w:rightChars="11"/>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r>
        <w:rPr>
          <w:rFonts w:hint="eastAsia" w:ascii="宋体" w:hAnsi="宋体" w:eastAsia="宋体" w:cs="宋体"/>
          <w:color w:val="auto"/>
          <w:sz w:val="24"/>
          <w:highlight w:val="none"/>
        </w:rPr>
        <w:t>2、属比选文件规定可能变动的内容在“说明”栏中注明。</w:t>
      </w:r>
    </w:p>
    <w:p w14:paraId="7E5696D0">
      <w:pPr>
        <w:adjustRightInd w:val="0"/>
        <w:snapToGrid w:val="0"/>
        <w:spacing w:line="360" w:lineRule="auto"/>
        <w:ind w:right="23" w:rightChars="11" w:firstLine="588" w:firstLineChars="245"/>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3、若全部条款无偏离，</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需承诺“全部响应比选文件商务和技术条款及合同条款的要求，无偏离”</w:t>
      </w:r>
    </w:p>
    <w:p w14:paraId="2604AEE4">
      <w:pPr>
        <w:pStyle w:val="16"/>
        <w:adjustRightInd w:val="0"/>
        <w:snapToGrid w:val="0"/>
        <w:spacing w:before="0" w:beforeAutospacing="0" w:after="0" w:afterAutospacing="0" w:line="360" w:lineRule="auto"/>
        <w:ind w:right="23" w:rightChars="11"/>
        <w:jc w:val="both"/>
        <w:rPr>
          <w:rFonts w:hint="eastAsia" w:ascii="宋体" w:hAnsi="宋体" w:eastAsia="宋体" w:cs="宋体"/>
          <w:color w:val="auto"/>
          <w:spacing w:val="0"/>
          <w:highlight w:val="none"/>
        </w:rPr>
      </w:pPr>
    </w:p>
    <w:p w14:paraId="0AA83CCA">
      <w:pPr>
        <w:pStyle w:val="16"/>
        <w:adjustRightInd w:val="0"/>
        <w:snapToGrid w:val="0"/>
        <w:spacing w:before="0" w:beforeAutospacing="0" w:after="0" w:afterAutospacing="0" w:line="360" w:lineRule="auto"/>
        <w:ind w:right="23" w:rightChars="11"/>
        <w:jc w:val="both"/>
        <w:rPr>
          <w:rFonts w:hint="eastAsia" w:ascii="宋体" w:hAnsi="宋体" w:eastAsia="宋体" w:cs="宋体"/>
          <w:color w:val="auto"/>
          <w:spacing w:val="0"/>
          <w:highlight w:val="none"/>
        </w:rPr>
      </w:pPr>
    </w:p>
    <w:p w14:paraId="58E01E6A">
      <w:pPr>
        <w:adjustRightInd w:val="0"/>
        <w:snapToGrid w:val="0"/>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全称      </w:t>
      </w:r>
      <w:r>
        <w:rPr>
          <w:rFonts w:hint="eastAsia" w:ascii="宋体" w:hAnsi="宋体" w:eastAsia="宋体" w:cs="宋体"/>
          <w:color w:val="auto"/>
          <w:sz w:val="24"/>
          <w:highlight w:val="none"/>
        </w:rPr>
        <w:t>（盖单位章）</w:t>
      </w:r>
    </w:p>
    <w:p w14:paraId="621E836A">
      <w:pPr>
        <w:adjustRightInd w:val="0"/>
        <w:snapToGrid w:val="0"/>
        <w:spacing w:line="360" w:lineRule="auto"/>
        <w:ind w:right="23" w:rightChars="11"/>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法定代表人或其委托代理人(签字或盖章)：</w:t>
      </w:r>
      <w:r>
        <w:rPr>
          <w:rFonts w:hint="eastAsia" w:ascii="宋体" w:hAnsi="宋体" w:eastAsia="宋体" w:cs="宋体"/>
          <w:color w:val="auto"/>
          <w:sz w:val="24"/>
          <w:highlight w:val="none"/>
          <w:u w:val="single"/>
        </w:rPr>
        <w:t xml:space="preserve">                   </w:t>
      </w:r>
    </w:p>
    <w:p w14:paraId="5198A8B8">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14:paraId="08780C58">
      <w:pPr>
        <w:tabs>
          <w:tab w:val="left" w:pos="3600"/>
        </w:tabs>
        <w:adjustRightInd w:val="0"/>
        <w:snapToGrid w:val="0"/>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0BC055E8">
      <w:pPr>
        <w:adjustRightInd w:val="0"/>
        <w:snapToGrid w:val="0"/>
        <w:spacing w:line="360" w:lineRule="auto"/>
        <w:jc w:val="center"/>
        <w:outlineLvl w:val="1"/>
        <w:rPr>
          <w:rFonts w:hint="eastAsia" w:ascii="宋体" w:hAnsi="宋体" w:eastAsia="宋体" w:cs="宋体"/>
          <w:color w:val="auto"/>
          <w:sz w:val="28"/>
          <w:szCs w:val="28"/>
          <w:highlight w:val="none"/>
        </w:rPr>
      </w:pPr>
      <w:bookmarkStart w:id="52" w:name="_Toc5353"/>
      <w:r>
        <w:rPr>
          <w:rFonts w:hint="eastAsia" w:ascii="宋体" w:hAnsi="宋体" w:eastAsia="宋体" w:cs="宋体"/>
          <w:b/>
          <w:color w:val="auto"/>
          <w:sz w:val="32"/>
          <w:szCs w:val="32"/>
          <w:highlight w:val="none"/>
        </w:rPr>
        <w:t>六、符合比选文件规定的证明文件</w:t>
      </w:r>
      <w:bookmarkEnd w:id="52"/>
    </w:p>
    <w:p w14:paraId="195A8C1B">
      <w:pPr>
        <w:rPr>
          <w:rFonts w:hint="eastAsia" w:ascii="宋体" w:hAnsi="宋体" w:eastAsia="宋体" w:cs="宋体"/>
          <w:color w:val="auto"/>
          <w:szCs w:val="21"/>
          <w:highlight w:val="none"/>
        </w:rPr>
      </w:pPr>
    </w:p>
    <w:p w14:paraId="634DB371">
      <w:pPr>
        <w:rPr>
          <w:rFonts w:hint="eastAsia" w:ascii="宋体" w:hAnsi="宋体" w:eastAsia="宋体" w:cs="宋体"/>
          <w:color w:val="auto"/>
          <w:sz w:val="24"/>
          <w:highlight w:val="none"/>
        </w:rPr>
      </w:pPr>
      <w:r>
        <w:rPr>
          <w:rFonts w:hint="eastAsia" w:ascii="宋体" w:hAnsi="宋体" w:eastAsia="宋体" w:cs="宋体"/>
          <w:color w:val="auto"/>
          <w:sz w:val="24"/>
          <w:highlight w:val="none"/>
        </w:rPr>
        <w:t>备注：提供第五章“</w:t>
      </w:r>
      <w:r>
        <w:rPr>
          <w:rFonts w:hint="eastAsia" w:ascii="宋体" w:hAnsi="宋体" w:eastAsia="宋体" w:cs="宋体"/>
          <w:color w:val="auto"/>
          <w:sz w:val="24"/>
          <w:highlight w:val="none"/>
          <w:lang w:eastAsia="zh-CN"/>
        </w:rPr>
        <w:t>招募需求</w:t>
      </w:r>
      <w:r>
        <w:rPr>
          <w:rFonts w:hint="eastAsia" w:ascii="宋体" w:hAnsi="宋体" w:eastAsia="宋体" w:cs="宋体"/>
          <w:color w:val="auto"/>
          <w:sz w:val="24"/>
          <w:highlight w:val="none"/>
        </w:rPr>
        <w:t>”规定的证明材料。</w:t>
      </w:r>
    </w:p>
    <w:p w14:paraId="12151BF7">
      <w:pPr>
        <w:adjustRightInd w:val="0"/>
        <w:snapToGrid w:val="0"/>
        <w:spacing w:line="360" w:lineRule="auto"/>
        <w:ind w:firstLine="420" w:firstLineChars="200"/>
        <w:rPr>
          <w:rFonts w:hint="eastAsia" w:ascii="宋体" w:hAnsi="宋体" w:eastAsia="宋体" w:cs="宋体"/>
          <w:bCs/>
          <w:color w:val="auto"/>
          <w:szCs w:val="21"/>
          <w:highlight w:val="none"/>
        </w:rPr>
      </w:pPr>
    </w:p>
    <w:p w14:paraId="379F60DF">
      <w:pPr>
        <w:adjustRightInd w:val="0"/>
        <w:snapToGrid w:val="0"/>
        <w:spacing w:line="360" w:lineRule="auto"/>
        <w:ind w:firstLine="420" w:firstLineChars="200"/>
        <w:rPr>
          <w:rFonts w:hint="eastAsia" w:ascii="宋体" w:hAnsi="宋体" w:eastAsia="宋体" w:cs="宋体"/>
          <w:bCs/>
          <w:color w:val="auto"/>
          <w:szCs w:val="21"/>
          <w:highlight w:val="none"/>
        </w:rPr>
      </w:pPr>
    </w:p>
    <w:p w14:paraId="30A78294">
      <w:pPr>
        <w:adjustRightInd w:val="0"/>
        <w:snapToGrid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br w:type="page"/>
      </w:r>
    </w:p>
    <w:p w14:paraId="6DADAF1E">
      <w:pPr>
        <w:adjustRightInd w:val="0"/>
        <w:snapToGrid w:val="0"/>
        <w:spacing w:line="360" w:lineRule="auto"/>
        <w:jc w:val="center"/>
        <w:outlineLvl w:val="1"/>
        <w:rPr>
          <w:rFonts w:hint="eastAsia" w:ascii="宋体" w:hAnsi="宋体" w:eastAsia="宋体" w:cs="宋体"/>
          <w:b/>
          <w:color w:val="auto"/>
          <w:sz w:val="32"/>
          <w:szCs w:val="32"/>
          <w:highlight w:val="none"/>
        </w:rPr>
      </w:pPr>
      <w:bookmarkStart w:id="53" w:name="_Toc17113"/>
      <w:r>
        <w:rPr>
          <w:rFonts w:hint="eastAsia" w:ascii="宋体" w:hAnsi="宋体" w:eastAsia="宋体" w:cs="宋体"/>
          <w:b/>
          <w:color w:val="auto"/>
          <w:sz w:val="32"/>
          <w:szCs w:val="32"/>
          <w:highlight w:val="none"/>
        </w:rPr>
        <w:t>七、报价一览表</w:t>
      </w:r>
      <w:bookmarkEnd w:id="53"/>
    </w:p>
    <w:p w14:paraId="19C0BB33">
      <w:pPr>
        <w:jc w:val="both"/>
        <w:rPr>
          <w:rFonts w:hint="eastAsia" w:ascii="宋体" w:hAnsi="宋体" w:eastAsia="宋体" w:cs="宋体"/>
          <w:b/>
          <w:color w:val="auto"/>
          <w:sz w:val="24"/>
          <w:szCs w:val="24"/>
          <w:highlight w:val="none"/>
          <w:lang w:val="en-US" w:eastAsia="zh-CN"/>
        </w:rPr>
      </w:pPr>
    </w:p>
    <w:p w14:paraId="45D6C369">
      <w:pPr>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报价一览表</w:t>
      </w:r>
    </w:p>
    <w:p w14:paraId="65492BE2">
      <w:pPr>
        <w:adjustRightInd w:val="0"/>
        <w:snapToGrid w:val="0"/>
        <w:rPr>
          <w:rFonts w:hint="eastAsia" w:ascii="宋体" w:hAnsi="宋体" w:eastAsia="宋体" w:cs="宋体"/>
          <w:color w:val="auto"/>
          <w:sz w:val="24"/>
          <w:highlight w:val="none"/>
        </w:rPr>
      </w:pPr>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1190"/>
        <w:gridCol w:w="1710"/>
        <w:gridCol w:w="1806"/>
        <w:gridCol w:w="2186"/>
      </w:tblGrid>
      <w:tr w14:paraId="2FCE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152" w:type="dxa"/>
            <w:tcBorders>
              <w:bottom w:val="single" w:color="auto" w:sz="4" w:space="0"/>
            </w:tcBorders>
            <w:vAlign w:val="center"/>
          </w:tcPr>
          <w:p w14:paraId="0D8F3F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807" w:type="dxa"/>
            <w:gridSpan w:val="4"/>
            <w:tcBorders>
              <w:bottom w:val="single" w:color="auto" w:sz="4" w:space="0"/>
            </w:tcBorders>
            <w:vAlign w:val="center"/>
          </w:tcPr>
          <w:p w14:paraId="154C4A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r>
      <w:tr w14:paraId="4501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7" w:hRule="atLeast"/>
          <w:jc w:val="center"/>
        </w:trPr>
        <w:tc>
          <w:tcPr>
            <w:tcW w:w="2152" w:type="dxa"/>
            <w:tcBorders>
              <w:bottom w:val="single" w:color="auto" w:sz="4" w:space="0"/>
            </w:tcBorders>
            <w:vAlign w:val="center"/>
          </w:tcPr>
          <w:p w14:paraId="36C110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项目内容</w:t>
            </w:r>
          </w:p>
        </w:tc>
        <w:tc>
          <w:tcPr>
            <w:tcW w:w="6807" w:type="dxa"/>
            <w:gridSpan w:val="4"/>
            <w:tcBorders>
              <w:bottom w:val="single" w:color="auto" w:sz="4" w:space="0"/>
            </w:tcBorders>
            <w:vAlign w:val="center"/>
          </w:tcPr>
          <w:p w14:paraId="6A1E0F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r>
      <w:tr w14:paraId="0E58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2152" w:type="dxa"/>
            <w:vMerge w:val="restart"/>
            <w:vAlign w:val="center"/>
          </w:tcPr>
          <w:p w14:paraId="23C457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投标报价</w:t>
            </w:r>
          </w:p>
        </w:tc>
        <w:tc>
          <w:tcPr>
            <w:tcW w:w="1175" w:type="dxa"/>
            <w:tcBorders>
              <w:bottom w:val="single" w:color="auto" w:sz="4" w:space="0"/>
            </w:tcBorders>
            <w:vAlign w:val="center"/>
          </w:tcPr>
          <w:p w14:paraId="3E17A6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储能</w:t>
            </w:r>
          </w:p>
        </w:tc>
        <w:tc>
          <w:tcPr>
            <w:tcW w:w="5632" w:type="dxa"/>
            <w:gridSpan w:val="3"/>
            <w:tcBorders>
              <w:bottom w:val="single" w:color="auto" w:sz="4" w:space="0"/>
            </w:tcBorders>
            <w:shd w:val="clear" w:color="auto" w:fill="auto"/>
            <w:vAlign w:val="center"/>
          </w:tcPr>
          <w:p w14:paraId="1DF6AC8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投标人收益分成比例</w:t>
            </w:r>
            <w:r>
              <w:rPr>
                <w:rFonts w:hint="eastAsia" w:ascii="宋体" w:hAnsi="宋体" w:eastAsia="宋体" w:cs="宋体"/>
                <w:color w:val="auto"/>
                <w:sz w:val="21"/>
                <w:szCs w:val="21"/>
                <w:highlight w:val="none"/>
                <w:lang w:val="en-US" w:eastAsia="zh-CN"/>
              </w:rPr>
              <w:t>：       %</w:t>
            </w:r>
          </w:p>
        </w:tc>
      </w:tr>
      <w:tr w14:paraId="1EBF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atLeast"/>
          <w:jc w:val="center"/>
        </w:trPr>
        <w:tc>
          <w:tcPr>
            <w:tcW w:w="2152" w:type="dxa"/>
            <w:vMerge w:val="continue"/>
            <w:tcBorders>
              <w:bottom w:val="single" w:color="auto" w:sz="4" w:space="0"/>
            </w:tcBorders>
            <w:vAlign w:val="center"/>
          </w:tcPr>
          <w:p w14:paraId="6F4EA0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tc>
        <w:tc>
          <w:tcPr>
            <w:tcW w:w="1175" w:type="dxa"/>
            <w:tcBorders>
              <w:bottom w:val="single" w:color="auto" w:sz="4" w:space="0"/>
            </w:tcBorders>
            <w:vAlign w:val="center"/>
          </w:tcPr>
          <w:p w14:paraId="3E7973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充电桩</w:t>
            </w:r>
          </w:p>
        </w:tc>
        <w:tc>
          <w:tcPr>
            <w:tcW w:w="5632" w:type="dxa"/>
            <w:gridSpan w:val="3"/>
            <w:tcBorders>
              <w:bottom w:val="single" w:color="auto" w:sz="4" w:space="0"/>
            </w:tcBorders>
            <w:shd w:val="clear" w:color="auto" w:fill="auto"/>
            <w:vAlign w:val="center"/>
          </w:tcPr>
          <w:p w14:paraId="476D27A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投标人收益分成比例</w:t>
            </w:r>
            <w:r>
              <w:rPr>
                <w:rFonts w:hint="eastAsia" w:ascii="宋体" w:hAnsi="宋体" w:eastAsia="宋体" w:cs="宋体"/>
                <w:color w:val="auto"/>
                <w:szCs w:val="21"/>
                <w:highlight w:val="none"/>
                <w:lang w:val="en-US" w:eastAsia="zh-CN"/>
              </w:rPr>
              <w:t>：       %</w:t>
            </w:r>
          </w:p>
        </w:tc>
      </w:tr>
      <w:tr w14:paraId="653C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2152" w:type="dxa"/>
            <w:tcBorders>
              <w:bottom w:val="single" w:color="auto" w:sz="4" w:space="0"/>
            </w:tcBorders>
            <w:vAlign w:val="center"/>
          </w:tcPr>
          <w:p w14:paraId="5FC495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运营期限</w:t>
            </w:r>
          </w:p>
        </w:tc>
        <w:tc>
          <w:tcPr>
            <w:tcW w:w="6807" w:type="dxa"/>
            <w:gridSpan w:val="4"/>
            <w:tcBorders>
              <w:bottom w:val="single" w:color="auto" w:sz="4" w:space="0"/>
            </w:tcBorders>
            <w:vAlign w:val="center"/>
          </w:tcPr>
          <w:p w14:paraId="3EC6F1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p>
        </w:tc>
      </w:tr>
      <w:tr w14:paraId="51B2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atLeast"/>
          <w:jc w:val="center"/>
        </w:trPr>
        <w:tc>
          <w:tcPr>
            <w:tcW w:w="2152" w:type="dxa"/>
            <w:tcBorders>
              <w:bottom w:val="single" w:color="auto" w:sz="4" w:space="0"/>
            </w:tcBorders>
            <w:vAlign w:val="center"/>
          </w:tcPr>
          <w:p w14:paraId="4A2B11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 责 人</w:t>
            </w:r>
          </w:p>
        </w:tc>
        <w:tc>
          <w:tcPr>
            <w:tcW w:w="2864" w:type="dxa"/>
            <w:gridSpan w:val="2"/>
            <w:tcBorders>
              <w:bottom w:val="single" w:color="auto" w:sz="4" w:space="0"/>
            </w:tcBorders>
            <w:vAlign w:val="center"/>
          </w:tcPr>
          <w:p w14:paraId="6C7E57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c>
          <w:tcPr>
            <w:tcW w:w="1784" w:type="dxa"/>
            <w:tcBorders>
              <w:bottom w:val="single" w:color="auto" w:sz="4" w:space="0"/>
            </w:tcBorders>
            <w:vAlign w:val="center"/>
          </w:tcPr>
          <w:p w14:paraId="264954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2159" w:type="dxa"/>
            <w:tcBorders>
              <w:bottom w:val="single" w:color="auto" w:sz="4" w:space="0"/>
            </w:tcBorders>
            <w:vAlign w:val="center"/>
          </w:tcPr>
          <w:p w14:paraId="79403A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r>
      <w:tr w14:paraId="43B2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2152" w:type="dxa"/>
            <w:vAlign w:val="center"/>
          </w:tcPr>
          <w:p w14:paraId="5D8F88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办公地址</w:t>
            </w:r>
          </w:p>
        </w:tc>
        <w:tc>
          <w:tcPr>
            <w:tcW w:w="6807" w:type="dxa"/>
            <w:gridSpan w:val="4"/>
            <w:vAlign w:val="center"/>
          </w:tcPr>
          <w:p w14:paraId="2634B1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r>
    </w:tbl>
    <w:p w14:paraId="6DD1E693">
      <w:pPr>
        <w:adjustRightInd w:val="0"/>
        <w:snapToGrid w:val="0"/>
        <w:spacing w:line="360" w:lineRule="auto"/>
        <w:rPr>
          <w:rFonts w:hint="eastAsia" w:ascii="宋体" w:hAnsi="宋体" w:eastAsia="宋体" w:cs="宋体"/>
          <w:color w:val="auto"/>
          <w:sz w:val="24"/>
          <w:highlight w:val="none"/>
        </w:rPr>
      </w:pPr>
    </w:p>
    <w:p w14:paraId="3D9160C8">
      <w:pPr>
        <w:adjustRightInd w:val="0"/>
        <w:snapToGrid w:val="0"/>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全称      </w:t>
      </w:r>
      <w:r>
        <w:rPr>
          <w:rFonts w:hint="eastAsia" w:ascii="宋体" w:hAnsi="宋体" w:eastAsia="宋体" w:cs="宋体"/>
          <w:color w:val="auto"/>
          <w:sz w:val="24"/>
          <w:highlight w:val="none"/>
        </w:rPr>
        <w:t>（盖单位章）</w:t>
      </w:r>
    </w:p>
    <w:p w14:paraId="77EAEF80">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法定代表人或其委托代理人（签字或盖章）：</w:t>
      </w:r>
      <w:r>
        <w:rPr>
          <w:rFonts w:hint="eastAsia" w:ascii="宋体" w:hAnsi="宋体" w:eastAsia="宋体" w:cs="宋体"/>
          <w:color w:val="auto"/>
          <w:sz w:val="24"/>
          <w:highlight w:val="none"/>
          <w:u w:val="single"/>
        </w:rPr>
        <w:t xml:space="preserve">          </w:t>
      </w:r>
    </w:p>
    <w:p w14:paraId="6281E2F6">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0E3DB77C">
      <w:pPr>
        <w:spacing w:line="360" w:lineRule="auto"/>
        <w:rPr>
          <w:rFonts w:hint="eastAsia" w:ascii="宋体" w:hAnsi="宋体" w:eastAsia="宋体" w:cs="宋体"/>
          <w:color w:val="auto"/>
          <w:sz w:val="24"/>
          <w:highlight w:val="none"/>
        </w:rPr>
      </w:pPr>
    </w:p>
    <w:p w14:paraId="7A6C66DF">
      <w:pPr>
        <w:adjustRightInd w:val="0"/>
        <w:snapToGrid w:val="0"/>
        <w:spacing w:line="360" w:lineRule="auto"/>
        <w:jc w:val="center"/>
        <w:outlineLvl w:val="1"/>
        <w:rPr>
          <w:rFonts w:hint="eastAsia" w:ascii="宋体" w:hAnsi="宋体" w:eastAsia="宋体" w:cs="宋体"/>
          <w:b/>
          <w:color w:val="auto"/>
          <w:sz w:val="32"/>
          <w:szCs w:val="32"/>
          <w:highlight w:val="none"/>
        </w:rPr>
      </w:pPr>
      <w:bookmarkStart w:id="54" w:name="_Toc32611"/>
      <w:r>
        <w:rPr>
          <w:rFonts w:hint="eastAsia" w:ascii="宋体" w:hAnsi="宋体" w:eastAsia="宋体" w:cs="宋体"/>
          <w:b/>
          <w:color w:val="auto"/>
          <w:sz w:val="32"/>
          <w:szCs w:val="32"/>
          <w:highlight w:val="none"/>
        </w:rPr>
        <w:t>八</w:t>
      </w:r>
      <w:r>
        <w:rPr>
          <w:rFonts w:hint="eastAsia" w:ascii="宋体" w:hAnsi="宋体" w:eastAsia="宋体" w:cs="宋体"/>
          <w:b/>
          <w:bCs/>
          <w:color w:val="auto"/>
          <w:sz w:val="32"/>
          <w:szCs w:val="32"/>
          <w:highlight w:val="none"/>
        </w:rPr>
        <w:t>、</w:t>
      </w:r>
      <w:r>
        <w:rPr>
          <w:rFonts w:hint="eastAsia" w:ascii="宋体" w:hAnsi="宋体" w:eastAsia="宋体" w:cs="宋体"/>
          <w:b/>
          <w:bCs/>
          <w:color w:val="auto"/>
          <w:sz w:val="32"/>
          <w:szCs w:val="32"/>
          <w:highlight w:val="none"/>
          <w:lang w:eastAsia="zh-CN"/>
        </w:rPr>
        <w:t>投标人</w:t>
      </w:r>
      <w:r>
        <w:rPr>
          <w:rFonts w:hint="eastAsia" w:ascii="宋体" w:hAnsi="宋体" w:eastAsia="宋体" w:cs="宋体"/>
          <w:b/>
          <w:bCs/>
          <w:color w:val="auto"/>
          <w:sz w:val="32"/>
          <w:szCs w:val="32"/>
          <w:highlight w:val="none"/>
        </w:rPr>
        <w:t>认为需要提供的其它资料</w:t>
      </w:r>
      <w:bookmarkEnd w:id="54"/>
    </w:p>
    <w:p w14:paraId="190681ED">
      <w:pPr>
        <w:adjustRightInd w:val="0"/>
        <w:snapToGrid w:val="0"/>
        <w:spacing w:line="360" w:lineRule="auto"/>
        <w:jc w:val="left"/>
        <w:rPr>
          <w:rFonts w:hint="eastAsia" w:ascii="宋体" w:hAnsi="宋体" w:eastAsia="宋体" w:cs="宋体"/>
          <w:color w:val="auto"/>
          <w:szCs w:val="21"/>
          <w:highlight w:val="none"/>
        </w:rPr>
      </w:pPr>
    </w:p>
    <w:p w14:paraId="11522655">
      <w:pPr>
        <w:adjustRightInd w:val="0"/>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注：根据“评标方法及标准”</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认为需要提供的证明材料复印件。</w:t>
      </w:r>
    </w:p>
    <w:p w14:paraId="15457D83">
      <w:pPr>
        <w:rPr>
          <w:rFonts w:hint="eastAsia" w:ascii="宋体" w:hAnsi="宋体" w:eastAsia="宋体" w:cs="宋体"/>
          <w:color w:val="auto"/>
          <w:highlight w:val="none"/>
        </w:rPr>
      </w:pPr>
    </w:p>
    <w:sectPr>
      <w:pgSz w:w="11906" w:h="16838"/>
      <w:pgMar w:top="1417" w:right="1417" w:bottom="1417" w:left="1417" w:header="850" w:footer="850" w:gutter="0"/>
      <w:pgNumType w:fmt="decimal"/>
      <w:cols w:space="0" w:num="1"/>
      <w:rtlGutter w:val="0"/>
      <w:docGrid w:type="linesAndChar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0DA7632-4309-4B74-94FD-8051714057D5}"/>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BB788">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52B47">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3A8A9">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793A8A9">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3"/>
      <w:numFmt w:val="chineseCounting"/>
      <w:suff w:val="space"/>
      <w:lvlText w:val="第%1章"/>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documentProtection w:enforcement="0"/>
  <w:defaultTabStop w:val="420"/>
  <w:drawingGridHorizontalSpacing w:val="21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050473"/>
    <w:rsid w:val="0CB57280"/>
    <w:rsid w:val="1EC50DAE"/>
    <w:rsid w:val="20E03AD1"/>
    <w:rsid w:val="2C331E12"/>
    <w:rsid w:val="2CBF5993"/>
    <w:rsid w:val="2D3543A0"/>
    <w:rsid w:val="2F111438"/>
    <w:rsid w:val="343E7AFB"/>
    <w:rsid w:val="3DC94AAA"/>
    <w:rsid w:val="42FA2075"/>
    <w:rsid w:val="4891671A"/>
    <w:rsid w:val="50B46A4B"/>
    <w:rsid w:val="532873F8"/>
    <w:rsid w:val="613E315B"/>
    <w:rsid w:val="645E7C9E"/>
    <w:rsid w:val="6B974E08"/>
    <w:rsid w:val="6FE174DC"/>
    <w:rsid w:val="77145BE0"/>
    <w:rsid w:val="795906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next w:val="1"/>
    <w:qFormat/>
    <w:uiPriority w:val="0"/>
    <w:pPr>
      <w:keepNext/>
      <w:keepLines/>
      <w:widowControl w:val="0"/>
      <w:jc w:val="left"/>
      <w:outlineLvl w:val="0"/>
    </w:pPr>
    <w:rPr>
      <w:rFonts w:ascii="Times New Roman" w:hAnsi="Times New Roman" w:eastAsia="宋体" w:cs="Times New Roman"/>
      <w:b/>
      <w:bCs/>
      <w:kern w:val="44"/>
      <w:sz w:val="44"/>
      <w:szCs w:val="44"/>
      <w:lang w:val="en-US" w:eastAsia="zh-CN" w:bidi="ar-SA"/>
    </w:rPr>
  </w:style>
  <w:style w:type="paragraph" w:styleId="3">
    <w:name w:val="heading 2"/>
    <w:basedOn w:val="1"/>
    <w:next w:val="1"/>
    <w:qFormat/>
    <w:uiPriority w:val="0"/>
    <w:pPr>
      <w:keepNext/>
      <w:keepLines/>
      <w:spacing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spacing w:before="0" w:beforeAutospacing="1" w:after="0" w:afterAutospacing="1"/>
      <w:jc w:val="left"/>
    </w:pPr>
    <w:rPr>
      <w:rFonts w:hint="eastAsia" w:ascii="宋体" w:hAnsi="宋体" w:eastAsia="宋体" w:cs="宋体"/>
      <w:b/>
      <w:bCs/>
      <w:kern w:val="0"/>
      <w:sz w:val="24"/>
      <w:szCs w:val="24"/>
      <w:lang w:val="en-US" w:eastAsia="zh-CN"/>
    </w:rPr>
  </w:style>
  <w:style w:type="character" w:default="1" w:styleId="20">
    <w:name w:val="Default Paragraph Font"/>
    <w:qFormat/>
    <w:uiPriority w:val="0"/>
  </w:style>
  <w:style w:type="table" w:default="1" w:styleId="18">
    <w:name w:val="Normal Table"/>
    <w:qFormat/>
    <w:uiPriority w:val="0"/>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szCs w:val="20"/>
    </w:rPr>
  </w:style>
  <w:style w:type="paragraph" w:styleId="7">
    <w:name w:val="annotation text"/>
    <w:basedOn w:val="1"/>
    <w:qFormat/>
    <w:uiPriority w:val="0"/>
    <w:pPr>
      <w:jc w:val="left"/>
    </w:pPr>
  </w:style>
  <w:style w:type="paragraph" w:styleId="8">
    <w:name w:val="Body Text"/>
    <w:basedOn w:val="1"/>
    <w:next w:val="9"/>
    <w:qFormat/>
    <w:uiPriority w:val="0"/>
    <w:rPr>
      <w:sz w:val="30"/>
    </w:rPr>
  </w:style>
  <w:style w:type="paragraph" w:styleId="9">
    <w:name w:val="Body Text First Indent"/>
    <w:next w:val="1"/>
    <w:qFormat/>
    <w:uiPriority w:val="0"/>
    <w:pPr>
      <w:widowControl w:val="0"/>
      <w:spacing w:after="120" w:line="500" w:lineRule="exact"/>
      <w:ind w:firstLine="420" w:firstLineChars="200"/>
      <w:jc w:val="both"/>
    </w:pPr>
    <w:rPr>
      <w:rFonts w:ascii="Times New Roman" w:hAnsi="Times New Roman" w:eastAsia="宋体" w:cs="Times New Roman"/>
      <w:kern w:val="2"/>
      <w:sz w:val="21"/>
      <w:szCs w:val="24"/>
      <w:lang w:val="en-US" w:eastAsia="zh-CN" w:bidi="ar-SA"/>
    </w:rPr>
  </w:style>
  <w:style w:type="paragraph" w:styleId="10">
    <w:name w:val="Body Text Indent"/>
    <w:basedOn w:val="1"/>
    <w:next w:val="11"/>
    <w:qFormat/>
    <w:uiPriority w:val="0"/>
    <w:pPr>
      <w:spacing w:after="120"/>
      <w:ind w:left="420" w:leftChars="200"/>
    </w:pPr>
  </w:style>
  <w:style w:type="paragraph" w:styleId="11">
    <w:name w:val="annotation subject"/>
    <w:basedOn w:val="7"/>
    <w:next w:val="1"/>
    <w:qFormat/>
    <w:uiPriority w:val="0"/>
    <w:rPr>
      <w:b/>
      <w:bCs/>
    </w:rPr>
  </w:style>
  <w:style w:type="paragraph" w:styleId="12">
    <w:name w:val="Plain Text"/>
    <w:basedOn w:val="1"/>
    <w:qFormat/>
    <w:uiPriority w:val="0"/>
    <w:rPr>
      <w:rFonts w:ascii="宋体" w:hAnsi="Courier New" w:cs="Courier New"/>
      <w:szCs w:val="21"/>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Body Text 2"/>
    <w:basedOn w:val="1"/>
    <w:qFormat/>
    <w:uiPriority w:val="0"/>
    <w:pPr>
      <w:spacing w:after="120" w:line="480" w:lineRule="auto"/>
    </w:pPr>
  </w:style>
  <w:style w:type="paragraph" w:styleId="16">
    <w:name w:val="Normal (Web)"/>
    <w:basedOn w:val="1"/>
    <w:qFormat/>
    <w:uiPriority w:val="0"/>
    <w:pPr>
      <w:wordWrap w:val="0"/>
      <w:spacing w:before="100" w:beforeAutospacing="1" w:after="100" w:afterAutospacing="1"/>
      <w:jc w:val="left"/>
    </w:pPr>
    <w:rPr>
      <w:rFonts w:cs="Times New Roman"/>
      <w:spacing w:val="30"/>
      <w:kern w:val="0"/>
      <w:sz w:val="24"/>
    </w:rPr>
  </w:style>
  <w:style w:type="paragraph" w:styleId="17">
    <w:name w:val="Body Text First Indent 2"/>
    <w:basedOn w:val="10"/>
    <w:next w:val="1"/>
    <w:qFormat/>
    <w:uiPriority w:val="99"/>
    <w:pPr>
      <w:autoSpaceDE w:val="0"/>
      <w:autoSpaceDN w:val="0"/>
      <w:adjustRightInd w:val="0"/>
      <w:jc w:val="left"/>
    </w:pPr>
    <w:rPr>
      <w:kern w:val="0"/>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Hyperlink"/>
    <w:qFormat/>
    <w:uiPriority w:val="99"/>
    <w:rPr>
      <w:color w:val="333333"/>
      <w:u w:val="none"/>
    </w:rPr>
  </w:style>
  <w:style w:type="paragraph" w:customStyle="1" w:styleId="23">
    <w:name w:val="列出段落1"/>
    <w:basedOn w:val="1"/>
    <w:qFormat/>
    <w:uiPriority w:val="0"/>
    <w:pPr>
      <w:ind w:firstLine="420" w:firstLineChars="200"/>
    </w:pPr>
    <w:rPr>
      <w:rFonts w:ascii="Calibri" w:hAnsi="Calibri" w:cs="Calibri"/>
      <w:szCs w:val="21"/>
    </w:rPr>
  </w:style>
  <w:style w:type="paragraph" w:customStyle="1" w:styleId="24">
    <w:name w:val="样式 正文文本缩进 + 首行缩进:  2 字符 行距: 1.5 倍行距"/>
    <w:basedOn w:val="10"/>
    <w:qFormat/>
    <w:uiPriority w:val="0"/>
  </w:style>
  <w:style w:type="paragraph" w:customStyle="1" w:styleId="25">
    <w:name w:val="正文_11_0"/>
    <w:qFormat/>
    <w:uiPriority w:val="0"/>
    <w:pPr>
      <w:widowControl w:val="0"/>
      <w:jc w:val="both"/>
    </w:pPr>
    <w:rPr>
      <w:rFonts w:ascii="Calibri" w:hAnsi="Calibri" w:eastAsia="宋体" w:cs="Times New Roman"/>
      <w:kern w:val="2"/>
      <w:sz w:val="24"/>
      <w:szCs w:val="22"/>
      <w:lang w:val="en-US" w:eastAsia="zh-CN" w:bidi="ar-SA"/>
    </w:rPr>
  </w:style>
  <w:style w:type="paragraph" w:customStyle="1" w:styleId="26">
    <w:name w:val="正文_10_0"/>
    <w:qFormat/>
    <w:uiPriority w:val="0"/>
    <w:pPr>
      <w:widowControl w:val="0"/>
      <w:jc w:val="both"/>
    </w:pPr>
    <w:rPr>
      <w:rFonts w:ascii="Calibri" w:hAnsi="Calibri" w:eastAsia="宋体" w:cs="Times New Roman"/>
      <w:kern w:val="2"/>
      <w:sz w:val="24"/>
      <w:szCs w:val="22"/>
      <w:lang w:val="en-US" w:eastAsia="zh-CN" w:bidi="ar-SA"/>
    </w:rPr>
  </w:style>
  <w:style w:type="paragraph" w:customStyle="1" w:styleId="27">
    <w:name w:val="WPSOffice手动目录 1"/>
    <w:qFormat/>
    <w:uiPriority w:val="0"/>
    <w:pPr>
      <w:ind w:leftChars="0"/>
    </w:pPr>
    <w:rPr>
      <w:rFonts w:ascii="Calibri" w:hAnsi="Calibri" w:eastAsia="宋体" w:cs="宋体"/>
      <w:sz w:val="20"/>
      <w:szCs w:val="20"/>
    </w:rPr>
  </w:style>
  <w:style w:type="character" w:customStyle="1" w:styleId="28">
    <w:name w:val="content_1"/>
    <w:qFormat/>
    <w:uiPriority w:val="0"/>
    <w:rPr>
      <w:sz w:val="19"/>
      <w:szCs w:val="19"/>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9a8a51-dcbb-4321-a641-501e2e847651}">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10794</Words>
  <Characters>11418</Characters>
  <Paragraphs>1061</Paragraphs>
  <TotalTime>1</TotalTime>
  <ScaleCrop>false</ScaleCrop>
  <LinksUpToDate>false</LinksUpToDate>
  <CharactersWithSpaces>11740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2022-07-05T11:26:00Z</dcterms:created>
  <dc:creator>Administrator</dc:creator>
  <cp:lastModifiedBy>施晶</cp:lastModifiedBy>
  <dcterms:modified xsi:type="dcterms:W3CDTF">2025-11-03T07:19:08Z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02D1101B110B4F8EA17A9190CC6FF10C_13</vt:lpwstr>
  </property>
  <property fmtid="{D5CDD505-2E9C-101B-9397-08002B2CF9AE}" pid="4" name="KSOTemplateDocerSaveRecord">
    <vt:lpwstr>eyJoZGlkIjoiYWRlYjY4MmMxY2M5MGJiOTIxNWVjZGQ2MDg0OGI0Y2YiLCJ1c2VySWQiOiIzMjk4MzcyNDQifQ==</vt:lpwstr>
  </property>
</Properties>
</file>